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10-5-2019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Globalization in fashion industry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A4. Communicating and Reflecting:communicate the results of their research and inquiry clearly and effectively, and reflect on and evaluate their research, inquiry and communication skills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couture and pret a porter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will be test on their knowledge on this quiz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https://www.mochni.com/the-real-difference-pret-a-porter-and-haute-couture/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learning: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 1: Differences between haute couture and pret-a porter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Globalization in fashion industry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A4. Communicating and Reflecting:communicate the results of their research and inquiry clearly and effectively, and reflect on and evaluate their research, inquiry and communication skills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Haute couture and pret a porter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Students will be test on their knowledge on this quiz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https://www.mochni.com/the-real-difference-pret-a-porter-and-haute-couture/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 learning: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 1: Differences between haute couture and pret-a porter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Assignment, Homework based on lesson, exit card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spacing w:before="20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1"/>
              </w:numPr>
              <w:spacing w:after="200" w:before="20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E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E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20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0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spacing w:after="200" w:before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ochni.com/the-real-difference-pret-a-porter-and-haute-couture/" TargetMode="External"/><Relationship Id="rId7" Type="http://schemas.openxmlformats.org/officeDocument/2006/relationships/hyperlink" Target="https://www.mochni.com/the-real-difference-pret-a-porter-and-haute-coutu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