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Miss Molliconi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Assignment 5: Video Presentation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Peer-Assessment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following list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help you complete the self-assessment: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MUST focus on the topic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Artificial Intelligence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Presenter MUST deliver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video presentation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pre-recorded live action video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animated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verbal &amp; nonverbal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techniques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engage the audience (rhetorical question, anecdote, statistic, hand gesture, tonal variation, etc.)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research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related to the topic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effectively follows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structure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persuasive / informative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presentation (introduction, body, conclusion)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meets the time requirement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(3-5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Feedback (what have you done well?):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Feed-forward (how can you improve?):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Pupil Response (what is ONE thing you will improve on your next presentation?):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