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80" w:type="dxa"/>
        <w:tblInd w:w="-1224" w:type="dxa"/>
        <w:tblBorders>
          <w:top w:val="nil"/>
          <w:left w:val="nil"/>
          <w:right w:val="nil"/>
        </w:tblBorders>
        <w:tblLayout w:type="fixed"/>
        <w:tblLook w:val="0000" w:firstRow="0" w:lastRow="0" w:firstColumn="0" w:lastColumn="0" w:noHBand="0" w:noVBand="0"/>
      </w:tblPr>
      <w:tblGrid>
        <w:gridCol w:w="11480"/>
      </w:tblGrid>
      <w:tr w:rsidR="00C70E9F" w:rsidRPr="00C70E9F" w14:paraId="0AFFA099" w14:textId="77777777" w:rsidTr="00C70E9F">
        <w:tc>
          <w:tcPr>
            <w:tcW w:w="11480" w:type="dxa"/>
            <w:shd w:val="clear" w:color="auto" w:fill="FFFFFF"/>
            <w:tcMar>
              <w:top w:w="100" w:type="nil"/>
              <w:left w:w="100" w:type="nil"/>
              <w:bottom w:w="100" w:type="nil"/>
              <w:right w:w="100" w:type="nil"/>
            </w:tcMar>
            <w:vAlign w:val="center"/>
          </w:tcPr>
          <w:p w14:paraId="27B39D5B" w14:textId="77777777" w:rsidR="00C70E9F" w:rsidRPr="00C70E9F" w:rsidRDefault="00C70E9F">
            <w:pPr>
              <w:widowControl w:val="0"/>
              <w:autoSpaceDE w:val="0"/>
              <w:autoSpaceDN w:val="0"/>
              <w:adjustRightInd w:val="0"/>
              <w:rPr>
                <w:rFonts w:ascii="Times" w:hAnsi="Times" w:cs="Times"/>
                <w:sz w:val="28"/>
                <w:szCs w:val="28"/>
              </w:rPr>
            </w:pPr>
            <w:r w:rsidRPr="00C70E9F">
              <w:rPr>
                <w:rFonts w:ascii="Arial" w:hAnsi="Arial" w:cs="Arial"/>
                <w:b/>
                <w:bCs/>
                <w:sz w:val="28"/>
                <w:szCs w:val="28"/>
              </w:rPr>
              <w:t xml:space="preserve">The Hero's Journey </w:t>
            </w:r>
            <w:r w:rsidR="00644A75">
              <w:rPr>
                <w:rFonts w:ascii="Arial" w:hAnsi="Arial" w:cs="Arial"/>
                <w:b/>
                <w:bCs/>
                <w:sz w:val="28"/>
                <w:szCs w:val="28"/>
              </w:rPr>
              <w:t xml:space="preserve">or Quest </w:t>
            </w:r>
            <w:r w:rsidRPr="00C70E9F">
              <w:rPr>
                <w:rFonts w:ascii="Arial" w:hAnsi="Arial" w:cs="Arial"/>
                <w:b/>
                <w:bCs/>
                <w:sz w:val="28"/>
                <w:szCs w:val="28"/>
              </w:rPr>
              <w:t>Outline</w:t>
            </w:r>
            <w:r>
              <w:rPr>
                <w:rFonts w:ascii="Arial" w:hAnsi="Arial" w:cs="Arial"/>
                <w:b/>
                <w:bCs/>
                <w:sz w:val="28"/>
                <w:szCs w:val="28"/>
              </w:rPr>
              <w:t xml:space="preserve"> (based on the work of James Campbell)</w:t>
            </w:r>
          </w:p>
          <w:p w14:paraId="641FF566" w14:textId="77777777" w:rsidR="001B2A62" w:rsidRDefault="001B2A62">
            <w:pPr>
              <w:widowControl w:val="0"/>
              <w:autoSpaceDE w:val="0"/>
              <w:autoSpaceDN w:val="0"/>
              <w:adjustRightInd w:val="0"/>
              <w:rPr>
                <w:rFonts w:ascii="Arial" w:hAnsi="Arial" w:cs="Arial"/>
              </w:rPr>
            </w:pPr>
          </w:p>
          <w:p w14:paraId="30A88081" w14:textId="5649B134" w:rsidR="00C70E9F" w:rsidRPr="00C70E9F" w:rsidRDefault="00C70E9F">
            <w:pPr>
              <w:widowControl w:val="0"/>
              <w:autoSpaceDE w:val="0"/>
              <w:autoSpaceDN w:val="0"/>
              <w:adjustRightInd w:val="0"/>
              <w:rPr>
                <w:rFonts w:ascii="Times" w:hAnsi="Times" w:cs="Times"/>
              </w:rPr>
            </w:pPr>
            <w:r w:rsidRPr="00C70E9F">
              <w:rPr>
                <w:rFonts w:ascii="Arial" w:hAnsi="Arial" w:cs="Arial"/>
              </w:rPr>
              <w:t>The Hero’s Journey is a pattern of narrative identified by the American scholar Joseph Campbell that appears in drama, storytelling, myth, religious ritual, and psychological development.  It describes the typical adventure of the archetype known as The Hero, the person who goes out and achieves great deeds on behalf of the group, tribe, or civilization.</w:t>
            </w:r>
          </w:p>
          <w:p w14:paraId="1A541E73" w14:textId="77777777" w:rsidR="001B2A62" w:rsidRDefault="001B2A62">
            <w:pPr>
              <w:widowControl w:val="0"/>
              <w:autoSpaceDE w:val="0"/>
              <w:autoSpaceDN w:val="0"/>
              <w:adjustRightInd w:val="0"/>
              <w:rPr>
                <w:rFonts w:ascii="Arial" w:hAnsi="Arial" w:cs="Arial"/>
              </w:rPr>
            </w:pPr>
          </w:p>
          <w:p w14:paraId="4B56A38A" w14:textId="62636630" w:rsidR="00C70E9F" w:rsidRDefault="00C70E9F">
            <w:pPr>
              <w:widowControl w:val="0"/>
              <w:autoSpaceDE w:val="0"/>
              <w:autoSpaceDN w:val="0"/>
              <w:adjustRightInd w:val="0"/>
              <w:rPr>
                <w:rFonts w:ascii="Arial" w:hAnsi="Arial" w:cs="Arial"/>
              </w:rPr>
            </w:pPr>
            <w:r w:rsidRPr="00C70E9F">
              <w:rPr>
                <w:rFonts w:ascii="Arial" w:hAnsi="Arial" w:cs="Arial"/>
              </w:rPr>
              <w:t>Its stages are:</w:t>
            </w:r>
          </w:p>
          <w:p w14:paraId="255FAC58" w14:textId="77777777" w:rsidR="001B2A62" w:rsidRPr="00C70E9F" w:rsidRDefault="001B2A62">
            <w:pPr>
              <w:widowControl w:val="0"/>
              <w:autoSpaceDE w:val="0"/>
              <w:autoSpaceDN w:val="0"/>
              <w:adjustRightInd w:val="0"/>
              <w:rPr>
                <w:rFonts w:ascii="Times" w:hAnsi="Times" w:cs="Times"/>
              </w:rPr>
            </w:pPr>
          </w:p>
          <w:p w14:paraId="55CCB455"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 xml:space="preserve">1.        </w:t>
            </w:r>
            <w:r w:rsidRPr="001B2A62">
              <w:rPr>
                <w:rFonts w:ascii="Arial" w:hAnsi="Arial" w:cs="Arial"/>
                <w:sz w:val="28"/>
                <w:szCs w:val="28"/>
                <w:shd w:val="clear" w:color="auto" w:fill="C4BC96" w:themeFill="background2" w:themeFillShade="BF"/>
              </w:rPr>
              <w:t>THE ORDINARY WORLD</w:t>
            </w:r>
            <w:r w:rsidRPr="00C70E9F">
              <w:rPr>
                <w:rFonts w:ascii="Arial" w:hAnsi="Arial" w:cs="Arial"/>
                <w:sz w:val="28"/>
                <w:szCs w:val="28"/>
              </w:rPr>
              <w:t xml:space="preserve">.  The hero, uneasy, uncomfortable or unaware, is introduced sympathetically so the audience can identify with the situation or dilemma.  The hero is shown against a background of environment, heredity, and personal history.  </w:t>
            </w:r>
            <w:r>
              <w:rPr>
                <w:rFonts w:ascii="Arial" w:hAnsi="Arial" w:cs="Arial"/>
                <w:sz w:val="28"/>
                <w:szCs w:val="28"/>
              </w:rPr>
              <w:t>Something</w:t>
            </w:r>
            <w:r w:rsidRPr="00C70E9F">
              <w:rPr>
                <w:rFonts w:ascii="Arial" w:hAnsi="Arial" w:cs="Arial"/>
                <w:sz w:val="28"/>
                <w:szCs w:val="28"/>
              </w:rPr>
              <w:t xml:space="preserve"> in the hero’s life is pulling in different directions and causing stress.</w:t>
            </w:r>
            <w:r>
              <w:rPr>
                <w:rFonts w:ascii="Arial" w:hAnsi="Arial" w:cs="Arial"/>
                <w:sz w:val="28"/>
                <w:szCs w:val="28"/>
              </w:rPr>
              <w:t xml:space="preserve"> (</w:t>
            </w:r>
            <w:proofErr w:type="gramStart"/>
            <w:r>
              <w:rPr>
                <w:rFonts w:ascii="Arial" w:hAnsi="Arial" w:cs="Arial"/>
                <w:sz w:val="28"/>
                <w:szCs w:val="28"/>
              </w:rPr>
              <w:t>known</w:t>
            </w:r>
            <w:proofErr w:type="gramEnd"/>
            <w:r>
              <w:rPr>
                <w:rFonts w:ascii="Arial" w:hAnsi="Arial" w:cs="Arial"/>
                <w:sz w:val="28"/>
                <w:szCs w:val="28"/>
              </w:rPr>
              <w:t xml:space="preserve"> as an inciting incident)</w:t>
            </w:r>
          </w:p>
          <w:p w14:paraId="292EFA7F"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 xml:space="preserve">2.        </w:t>
            </w:r>
            <w:r w:rsidRPr="001B2A62">
              <w:rPr>
                <w:rFonts w:ascii="Arial" w:hAnsi="Arial" w:cs="Arial"/>
                <w:sz w:val="28"/>
                <w:szCs w:val="28"/>
                <w:shd w:val="clear" w:color="auto" w:fill="C4BC96" w:themeFill="background2" w:themeFillShade="BF"/>
              </w:rPr>
              <w:t>THE CALL TO ADVENTURE</w:t>
            </w:r>
            <w:r w:rsidRPr="00C70E9F">
              <w:rPr>
                <w:rFonts w:ascii="Arial" w:hAnsi="Arial" w:cs="Arial"/>
                <w:sz w:val="28"/>
                <w:szCs w:val="28"/>
              </w:rPr>
              <w:t xml:space="preserve">.  Something shakes up the situation, either from external pressures or from something </w:t>
            </w:r>
            <w:proofErr w:type="gramStart"/>
            <w:r w:rsidRPr="00C70E9F">
              <w:rPr>
                <w:rFonts w:ascii="Arial" w:hAnsi="Arial" w:cs="Arial"/>
                <w:sz w:val="28"/>
                <w:szCs w:val="28"/>
              </w:rPr>
              <w:t>rising up</w:t>
            </w:r>
            <w:proofErr w:type="gramEnd"/>
            <w:r w:rsidRPr="00C70E9F">
              <w:rPr>
                <w:rFonts w:ascii="Arial" w:hAnsi="Arial" w:cs="Arial"/>
                <w:sz w:val="28"/>
                <w:szCs w:val="28"/>
              </w:rPr>
              <w:t xml:space="preserve"> from deep within, so the hero must face the beginnings of change. </w:t>
            </w:r>
          </w:p>
          <w:p w14:paraId="0A4C96E8"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 xml:space="preserve">3.        </w:t>
            </w:r>
            <w:r w:rsidRPr="001B2A62">
              <w:rPr>
                <w:rFonts w:ascii="Arial" w:hAnsi="Arial" w:cs="Arial"/>
                <w:sz w:val="28"/>
                <w:szCs w:val="28"/>
                <w:shd w:val="clear" w:color="auto" w:fill="C4BC96" w:themeFill="background2" w:themeFillShade="BF"/>
              </w:rPr>
              <w:t>REFUSAL OF THE CALL</w:t>
            </w:r>
            <w:r w:rsidRPr="00C70E9F">
              <w:rPr>
                <w:rFonts w:ascii="Arial" w:hAnsi="Arial" w:cs="Arial"/>
                <w:sz w:val="28"/>
                <w:szCs w:val="28"/>
              </w:rPr>
              <w:t xml:space="preserve">.  The hero feels the fear of the unknown and tries to turn away from the adventure, however briefly.  </w:t>
            </w:r>
            <w:r>
              <w:rPr>
                <w:rFonts w:ascii="Arial" w:hAnsi="Arial" w:cs="Arial"/>
                <w:sz w:val="28"/>
                <w:szCs w:val="28"/>
              </w:rPr>
              <w:t>Or,</w:t>
            </w:r>
            <w:r w:rsidRPr="00C70E9F">
              <w:rPr>
                <w:rFonts w:ascii="Arial" w:hAnsi="Arial" w:cs="Arial"/>
                <w:sz w:val="28"/>
                <w:szCs w:val="28"/>
              </w:rPr>
              <w:t xml:space="preserve"> another character may express the uncertainty and danger ahead.</w:t>
            </w:r>
          </w:p>
          <w:p w14:paraId="374601AC"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 xml:space="preserve">4.        </w:t>
            </w:r>
            <w:r w:rsidRPr="001B2A62">
              <w:rPr>
                <w:rFonts w:ascii="Arial" w:hAnsi="Arial" w:cs="Arial"/>
                <w:sz w:val="28"/>
                <w:szCs w:val="28"/>
                <w:shd w:val="clear" w:color="auto" w:fill="C4BC96" w:themeFill="background2" w:themeFillShade="BF"/>
              </w:rPr>
              <w:t>MEETING WITH THE MENTOR</w:t>
            </w:r>
            <w:r w:rsidRPr="00C70E9F">
              <w:rPr>
                <w:rFonts w:ascii="Arial" w:hAnsi="Arial" w:cs="Arial"/>
                <w:sz w:val="28"/>
                <w:szCs w:val="28"/>
              </w:rPr>
              <w:t>.  The hero comes across a seasoned traveler of the worlds who gives him or her training, equipment, or advice that will help on the journey.  Or the hero reaches within to a source of courage and wisdom.</w:t>
            </w:r>
          </w:p>
          <w:p w14:paraId="13BAF097"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 xml:space="preserve">5.        </w:t>
            </w:r>
            <w:r w:rsidRPr="001B2A62">
              <w:rPr>
                <w:rFonts w:ascii="Arial" w:hAnsi="Arial" w:cs="Arial"/>
                <w:sz w:val="28"/>
                <w:szCs w:val="28"/>
                <w:shd w:val="clear" w:color="auto" w:fill="C4BC96" w:themeFill="background2" w:themeFillShade="BF"/>
              </w:rPr>
              <w:t>CROSSING THE THRESHOLD</w:t>
            </w:r>
            <w:r>
              <w:rPr>
                <w:rFonts w:ascii="Arial" w:hAnsi="Arial" w:cs="Arial"/>
                <w:sz w:val="28"/>
                <w:szCs w:val="28"/>
              </w:rPr>
              <w:t>.  T</w:t>
            </w:r>
            <w:r w:rsidRPr="00C70E9F">
              <w:rPr>
                <w:rFonts w:ascii="Arial" w:hAnsi="Arial" w:cs="Arial"/>
                <w:sz w:val="28"/>
                <w:szCs w:val="28"/>
              </w:rPr>
              <w:t>he hero commits to leaving the Ordinary World and entering a new region or condition with unfamiliar rules and values. </w:t>
            </w:r>
          </w:p>
          <w:p w14:paraId="05AC80D0"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 xml:space="preserve">6.        </w:t>
            </w:r>
            <w:r w:rsidRPr="001B2A62">
              <w:rPr>
                <w:rFonts w:ascii="Arial" w:hAnsi="Arial" w:cs="Arial"/>
                <w:sz w:val="28"/>
                <w:szCs w:val="28"/>
                <w:shd w:val="clear" w:color="auto" w:fill="C4BC96" w:themeFill="background2" w:themeFillShade="BF"/>
              </w:rPr>
              <w:t>TESTS, ALLIES AND ENEMIES</w:t>
            </w:r>
            <w:r w:rsidRPr="00C70E9F">
              <w:rPr>
                <w:rFonts w:ascii="Arial" w:hAnsi="Arial" w:cs="Arial"/>
                <w:sz w:val="28"/>
                <w:szCs w:val="28"/>
              </w:rPr>
              <w:t>.  The hero is tested and sorts out allegiances in the Special World.</w:t>
            </w:r>
          </w:p>
          <w:p w14:paraId="45D668A1"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 xml:space="preserve">7.        </w:t>
            </w:r>
            <w:r w:rsidRPr="001B2A62">
              <w:rPr>
                <w:rFonts w:ascii="Arial" w:hAnsi="Arial" w:cs="Arial"/>
                <w:sz w:val="28"/>
                <w:szCs w:val="28"/>
                <w:shd w:val="clear" w:color="auto" w:fill="C4BC96" w:themeFill="background2" w:themeFillShade="BF"/>
              </w:rPr>
              <w:t>APPROACH</w:t>
            </w:r>
            <w:r w:rsidRPr="00C70E9F">
              <w:rPr>
                <w:rFonts w:ascii="Arial" w:hAnsi="Arial" w:cs="Arial"/>
                <w:sz w:val="28"/>
                <w:szCs w:val="28"/>
              </w:rPr>
              <w:t>.  The hero and newfound allies prepare for the major challenge in the Special world.</w:t>
            </w:r>
          </w:p>
          <w:p w14:paraId="4D78C3C0"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 xml:space="preserve">8.        </w:t>
            </w:r>
            <w:r w:rsidRPr="001B2A62">
              <w:rPr>
                <w:rFonts w:ascii="Arial" w:hAnsi="Arial" w:cs="Arial"/>
                <w:sz w:val="28"/>
                <w:szCs w:val="28"/>
                <w:shd w:val="clear" w:color="auto" w:fill="C4BC96" w:themeFill="background2" w:themeFillShade="BF"/>
              </w:rPr>
              <w:t>THE ORDEAL</w:t>
            </w:r>
            <w:r w:rsidRPr="00C70E9F">
              <w:rPr>
                <w:rFonts w:ascii="Arial" w:hAnsi="Arial" w:cs="Arial"/>
                <w:sz w:val="28"/>
                <w:szCs w:val="28"/>
              </w:rPr>
              <w:t>.  Near the middle of the story, the hero enters a central space in the Special World and confronts death or faces his or her greatest fear.  Out of the moment of death comes a new life. </w:t>
            </w:r>
          </w:p>
          <w:p w14:paraId="2CFA7FBB"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 xml:space="preserve">9.        </w:t>
            </w:r>
            <w:r w:rsidRPr="001B2A62">
              <w:rPr>
                <w:rFonts w:ascii="Arial" w:hAnsi="Arial" w:cs="Arial"/>
                <w:sz w:val="28"/>
                <w:szCs w:val="28"/>
                <w:shd w:val="clear" w:color="auto" w:fill="C4BC96" w:themeFill="background2" w:themeFillShade="BF"/>
              </w:rPr>
              <w:t>THE REWARD</w:t>
            </w:r>
            <w:r w:rsidRPr="00C70E9F">
              <w:rPr>
                <w:rFonts w:ascii="Arial" w:hAnsi="Arial" w:cs="Arial"/>
                <w:sz w:val="28"/>
                <w:szCs w:val="28"/>
              </w:rPr>
              <w:t>.  The hero takes possession of the treasure won by facing death.  There may be celebration, but there is also danger of losing the treasure again.</w:t>
            </w:r>
          </w:p>
          <w:p w14:paraId="210300C0" w14:textId="77777777"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10.      </w:t>
            </w:r>
            <w:r w:rsidRPr="001B2A62">
              <w:rPr>
                <w:rFonts w:ascii="Arial" w:hAnsi="Arial" w:cs="Arial"/>
                <w:sz w:val="28"/>
                <w:szCs w:val="28"/>
                <w:shd w:val="clear" w:color="auto" w:fill="C4BC96" w:themeFill="background2" w:themeFillShade="BF"/>
              </w:rPr>
              <w:t>THE ROAD BACK</w:t>
            </w:r>
            <w:r w:rsidRPr="00C70E9F">
              <w:rPr>
                <w:rFonts w:ascii="Arial" w:hAnsi="Arial" w:cs="Arial"/>
                <w:sz w:val="28"/>
                <w:szCs w:val="28"/>
              </w:rPr>
              <w:t xml:space="preserve">.  About three-fourths of the way through the story, the hero is driven to complete the adventure, leaving the Special World to be sure the treasure is brought home.  Often a chase scene </w:t>
            </w:r>
            <w:r>
              <w:rPr>
                <w:rFonts w:ascii="Arial" w:hAnsi="Arial" w:cs="Arial"/>
                <w:sz w:val="28"/>
                <w:szCs w:val="28"/>
              </w:rPr>
              <w:t xml:space="preserve">or a flurry of activity </w:t>
            </w:r>
            <w:r w:rsidRPr="00C70E9F">
              <w:rPr>
                <w:rFonts w:ascii="Arial" w:hAnsi="Arial" w:cs="Arial"/>
                <w:sz w:val="28"/>
                <w:szCs w:val="28"/>
              </w:rPr>
              <w:t>signals the urgency and danger of the mission.</w:t>
            </w:r>
          </w:p>
          <w:p w14:paraId="0B409B19" w14:textId="17FF51AA" w:rsidR="00C70E9F" w:rsidRPr="00C70E9F" w:rsidRDefault="00C70E9F">
            <w:pPr>
              <w:widowControl w:val="0"/>
              <w:autoSpaceDE w:val="0"/>
              <w:autoSpaceDN w:val="0"/>
              <w:adjustRightInd w:val="0"/>
              <w:ind w:left="1020" w:hanging="1020"/>
              <w:rPr>
                <w:rFonts w:ascii="Times" w:hAnsi="Times" w:cs="Times"/>
                <w:sz w:val="28"/>
                <w:szCs w:val="28"/>
              </w:rPr>
            </w:pPr>
            <w:r w:rsidRPr="00C70E9F">
              <w:rPr>
                <w:rFonts w:ascii="Arial" w:hAnsi="Arial" w:cs="Arial"/>
                <w:sz w:val="28"/>
                <w:szCs w:val="28"/>
              </w:rPr>
              <w:t>11.     </w:t>
            </w:r>
            <w:r w:rsidRPr="001B2A62">
              <w:rPr>
                <w:rFonts w:ascii="Arial" w:hAnsi="Arial" w:cs="Arial"/>
                <w:sz w:val="28"/>
                <w:szCs w:val="28"/>
                <w:shd w:val="clear" w:color="auto" w:fill="C4BC96" w:themeFill="background2" w:themeFillShade="BF"/>
              </w:rPr>
              <w:t>THE RESURRECTION.</w:t>
            </w:r>
            <w:r w:rsidRPr="00C70E9F">
              <w:rPr>
                <w:rFonts w:ascii="Arial" w:hAnsi="Arial" w:cs="Arial"/>
                <w:sz w:val="28"/>
                <w:szCs w:val="28"/>
              </w:rPr>
              <w:t xml:space="preserve">  At the climax, the hero is severely tested once more on the threshold of home.  He or she is purified by a last sacrifice, another moment of </w:t>
            </w:r>
            <w:r w:rsidRPr="00C70E9F">
              <w:rPr>
                <w:rFonts w:ascii="Arial" w:hAnsi="Arial" w:cs="Arial"/>
                <w:sz w:val="28"/>
                <w:szCs w:val="28"/>
              </w:rPr>
              <w:lastRenderedPageBreak/>
              <w:t xml:space="preserve">death and rebirth, but on a higher and more complete level.  By the hero’s action, the </w:t>
            </w:r>
            <w:r>
              <w:rPr>
                <w:rFonts w:ascii="Arial" w:hAnsi="Arial" w:cs="Arial"/>
                <w:sz w:val="28"/>
                <w:szCs w:val="28"/>
              </w:rPr>
              <w:t>things</w:t>
            </w:r>
            <w:r w:rsidRPr="00C70E9F">
              <w:rPr>
                <w:rFonts w:ascii="Arial" w:hAnsi="Arial" w:cs="Arial"/>
                <w:sz w:val="28"/>
                <w:szCs w:val="28"/>
              </w:rPr>
              <w:t xml:space="preserve"> that were in conflict </w:t>
            </w:r>
            <w:r>
              <w:rPr>
                <w:rFonts w:ascii="Arial" w:hAnsi="Arial" w:cs="Arial"/>
                <w:sz w:val="28"/>
                <w:szCs w:val="28"/>
              </w:rPr>
              <w:t xml:space="preserve">within him or her </w:t>
            </w:r>
            <w:r w:rsidRPr="00C70E9F">
              <w:rPr>
                <w:rFonts w:ascii="Arial" w:hAnsi="Arial" w:cs="Arial"/>
                <w:sz w:val="28"/>
                <w:szCs w:val="28"/>
              </w:rPr>
              <w:t>at the beginning are finally resolved.</w:t>
            </w:r>
          </w:p>
          <w:p w14:paraId="488ABD49" w14:textId="0601C503" w:rsidR="00C70E9F" w:rsidRPr="00C70E9F" w:rsidRDefault="00C70E9F">
            <w:pPr>
              <w:widowControl w:val="0"/>
              <w:autoSpaceDE w:val="0"/>
              <w:autoSpaceDN w:val="0"/>
              <w:adjustRightInd w:val="0"/>
              <w:rPr>
                <w:rFonts w:ascii="Times" w:hAnsi="Times" w:cs="Times"/>
                <w:sz w:val="28"/>
                <w:szCs w:val="28"/>
              </w:rPr>
            </w:pPr>
            <w:r w:rsidRPr="00C70E9F">
              <w:rPr>
                <w:rFonts w:ascii="Arial" w:hAnsi="Arial" w:cs="Arial"/>
                <w:sz w:val="28"/>
                <w:szCs w:val="28"/>
              </w:rPr>
              <w:t>12.       </w:t>
            </w:r>
            <w:r w:rsidRPr="00E427C1">
              <w:rPr>
                <w:rFonts w:ascii="Arial" w:hAnsi="Arial" w:cs="Arial"/>
                <w:sz w:val="28"/>
                <w:szCs w:val="28"/>
                <w:shd w:val="clear" w:color="auto" w:fill="C4BC96" w:themeFill="background2" w:themeFillShade="BF"/>
              </w:rPr>
              <w:t xml:space="preserve">RETURN WITH THE </w:t>
            </w:r>
            <w:r w:rsidR="00E427C1" w:rsidRPr="00E427C1">
              <w:rPr>
                <w:rFonts w:ascii="Arial" w:hAnsi="Arial" w:cs="Arial"/>
                <w:sz w:val="28"/>
                <w:szCs w:val="28"/>
                <w:shd w:val="clear" w:color="auto" w:fill="C4BC96" w:themeFill="background2" w:themeFillShade="BF"/>
              </w:rPr>
              <w:t>SOLUTION</w:t>
            </w:r>
            <w:r w:rsidR="00E427C1">
              <w:rPr>
                <w:rFonts w:ascii="Arial" w:hAnsi="Arial" w:cs="Arial"/>
                <w:sz w:val="28"/>
                <w:szCs w:val="28"/>
              </w:rPr>
              <w:t xml:space="preserve">: </w:t>
            </w:r>
            <w:r w:rsidRPr="00C70E9F">
              <w:rPr>
                <w:rFonts w:ascii="Arial" w:hAnsi="Arial" w:cs="Arial"/>
                <w:sz w:val="28"/>
                <w:szCs w:val="28"/>
              </w:rPr>
              <w:t>The hero returns home or continues the journey, bearing some element of the treasure that has the power to transform the world as the hero has been transformed.</w:t>
            </w:r>
          </w:p>
          <w:p w14:paraId="0D8C83FF" w14:textId="77777777" w:rsidR="00C70E9F" w:rsidRPr="00C70E9F" w:rsidRDefault="00C70E9F">
            <w:pPr>
              <w:widowControl w:val="0"/>
              <w:autoSpaceDE w:val="0"/>
              <w:autoSpaceDN w:val="0"/>
              <w:adjustRightInd w:val="0"/>
              <w:ind w:left="1020" w:hanging="1020"/>
              <w:jc w:val="center"/>
              <w:rPr>
                <w:rFonts w:ascii="Times" w:hAnsi="Times" w:cs="Times"/>
                <w:sz w:val="20"/>
                <w:szCs w:val="20"/>
              </w:rPr>
            </w:pPr>
          </w:p>
          <w:p w14:paraId="62B08562" w14:textId="77777777" w:rsidR="00C70E9F" w:rsidRPr="00C70E9F" w:rsidRDefault="00C70E9F">
            <w:pPr>
              <w:widowControl w:val="0"/>
              <w:autoSpaceDE w:val="0"/>
              <w:autoSpaceDN w:val="0"/>
              <w:adjustRightInd w:val="0"/>
              <w:ind w:left="1020" w:hanging="1020"/>
              <w:jc w:val="center"/>
              <w:rPr>
                <w:rFonts w:ascii="Times" w:hAnsi="Times" w:cs="Times"/>
                <w:sz w:val="20"/>
                <w:szCs w:val="20"/>
              </w:rPr>
            </w:pPr>
            <w:r w:rsidRPr="00C70E9F">
              <w:rPr>
                <w:rFonts w:ascii="Times" w:hAnsi="Times" w:cs="Times"/>
                <w:noProof/>
                <w:sz w:val="20"/>
                <w:szCs w:val="20"/>
              </w:rPr>
              <w:drawing>
                <wp:inline distT="0" distB="0" distL="0" distR="0" wp14:anchorId="7AC144E1" wp14:editId="637C67E5">
                  <wp:extent cx="6801750" cy="5842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01750" cy="5842800"/>
                          </a:xfrm>
                          <a:prstGeom prst="rect">
                            <a:avLst/>
                          </a:prstGeom>
                          <a:noFill/>
                          <a:ln>
                            <a:noFill/>
                          </a:ln>
                        </pic:spPr>
                      </pic:pic>
                    </a:graphicData>
                  </a:graphic>
                </wp:inline>
              </w:drawing>
            </w:r>
          </w:p>
          <w:p w14:paraId="28F9DFD6"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150CE96A"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2B6344BA"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1A505669"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170FAE86"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4FA6FCE2"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54403867"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lastRenderedPageBreak/>
              <w:t> </w:t>
            </w:r>
          </w:p>
          <w:p w14:paraId="3EC09A24"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7DE61EEE"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003D9816"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56002EC6"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600F5744" w14:textId="77777777" w:rsidR="00C70E9F" w:rsidRPr="00C70E9F" w:rsidRDefault="00C70E9F">
            <w:pPr>
              <w:widowControl w:val="0"/>
              <w:autoSpaceDE w:val="0"/>
              <w:autoSpaceDN w:val="0"/>
              <w:adjustRightInd w:val="0"/>
              <w:rPr>
                <w:rFonts w:ascii="Times" w:hAnsi="Times" w:cs="Times"/>
                <w:sz w:val="20"/>
                <w:szCs w:val="20"/>
              </w:rPr>
            </w:pPr>
            <w:r w:rsidRPr="00C70E9F">
              <w:rPr>
                <w:rFonts w:ascii="Times" w:hAnsi="Times" w:cs="Times"/>
                <w:sz w:val="20"/>
                <w:szCs w:val="20"/>
              </w:rPr>
              <w:t> </w:t>
            </w:r>
          </w:p>
          <w:p w14:paraId="4793C529" w14:textId="77777777" w:rsidR="00C70E9F" w:rsidRPr="00C70E9F" w:rsidRDefault="00C70E9F">
            <w:pPr>
              <w:widowControl w:val="0"/>
              <w:autoSpaceDE w:val="0"/>
              <w:autoSpaceDN w:val="0"/>
              <w:adjustRightInd w:val="0"/>
              <w:rPr>
                <w:rFonts w:ascii="Arial" w:hAnsi="Arial" w:cs="Arial"/>
                <w:sz w:val="20"/>
                <w:szCs w:val="20"/>
              </w:rPr>
            </w:pPr>
            <w:r w:rsidRPr="00C70E9F">
              <w:rPr>
                <w:rFonts w:ascii="Arial" w:hAnsi="Arial" w:cs="Arial"/>
                <w:noProof/>
                <w:sz w:val="20"/>
                <w:szCs w:val="20"/>
              </w:rPr>
              <w:drawing>
                <wp:inline distT="0" distB="0" distL="0" distR="0" wp14:anchorId="36AA9548" wp14:editId="492DC3DF">
                  <wp:extent cx="6872778" cy="6361200"/>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2778" cy="6361200"/>
                          </a:xfrm>
                          <a:prstGeom prst="rect">
                            <a:avLst/>
                          </a:prstGeom>
                          <a:noFill/>
                          <a:ln>
                            <a:noFill/>
                          </a:ln>
                        </pic:spPr>
                      </pic:pic>
                    </a:graphicData>
                  </a:graphic>
                </wp:inline>
              </w:drawing>
            </w:r>
          </w:p>
        </w:tc>
      </w:tr>
    </w:tbl>
    <w:p w14:paraId="0BC0B3E0" w14:textId="77777777" w:rsidR="006F46C3" w:rsidRPr="00C70E9F" w:rsidRDefault="006F46C3">
      <w:pPr>
        <w:rPr>
          <w:sz w:val="20"/>
          <w:szCs w:val="20"/>
        </w:rPr>
      </w:pPr>
    </w:p>
    <w:sectPr w:rsidR="006F46C3" w:rsidRPr="00C70E9F" w:rsidSect="006F46C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9F"/>
    <w:rsid w:val="001B2A62"/>
    <w:rsid w:val="00644A75"/>
    <w:rsid w:val="006F46C3"/>
    <w:rsid w:val="00B37B26"/>
    <w:rsid w:val="00C70E9F"/>
    <w:rsid w:val="00E42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547BB"/>
  <w14:defaultImageDpi w14:val="300"/>
  <w15:docId w15:val="{9764B6AC-9984-5A4E-80E5-5D8DAA8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E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E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4</cp:revision>
  <dcterms:created xsi:type="dcterms:W3CDTF">2015-10-18T19:56:00Z</dcterms:created>
  <dcterms:modified xsi:type="dcterms:W3CDTF">2021-06-28T14:29:00Z</dcterms:modified>
</cp:coreProperties>
</file>