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6B57CE" w:rsidRPr="00C142A2" w:rsidRDefault="00C142A2" w:rsidP="00C142A2">
      <w:pPr>
        <w:jc w:val="center"/>
        <w:rPr>
          <w:b/>
          <w:sz w:val="28"/>
        </w:rPr>
      </w:pPr>
      <w:r w:rsidRPr="00C142A2">
        <w:rPr>
          <w:b/>
          <w:sz w:val="28"/>
        </w:rPr>
        <w:t>Maths Studies Project</w:t>
      </w:r>
    </w:p>
    <w:p w:rsidR="00C142A2" w:rsidRDefault="00C142A2" w:rsidP="00C142A2">
      <w:pPr>
        <w:jc w:val="center"/>
        <w:rPr>
          <w:b/>
          <w:sz w:val="28"/>
        </w:rPr>
      </w:pPr>
    </w:p>
    <w:p w:rsidR="00C142A2" w:rsidRDefault="00C142A2" w:rsidP="00C142A2">
      <w:pPr>
        <w:jc w:val="center"/>
        <w:rPr>
          <w:b/>
          <w:sz w:val="28"/>
        </w:rPr>
      </w:pPr>
    </w:p>
    <w:p w:rsidR="00C142A2" w:rsidRDefault="00C142A2" w:rsidP="00C142A2">
      <w:pPr>
        <w:jc w:val="center"/>
        <w:rPr>
          <w:b/>
          <w:sz w:val="28"/>
        </w:rPr>
      </w:pPr>
    </w:p>
    <w:p w:rsidR="00C142A2" w:rsidRPr="00C142A2" w:rsidRDefault="00C142A2" w:rsidP="00C142A2">
      <w:pPr>
        <w:jc w:val="center"/>
        <w:rPr>
          <w:b/>
          <w:sz w:val="28"/>
        </w:rPr>
      </w:pPr>
    </w:p>
    <w:p w:rsidR="00C142A2" w:rsidRPr="00C142A2" w:rsidRDefault="00C142A2" w:rsidP="00C142A2">
      <w:pPr>
        <w:jc w:val="center"/>
        <w:rPr>
          <w:b/>
          <w:sz w:val="28"/>
        </w:rPr>
      </w:pPr>
      <w:r w:rsidRPr="00C142A2">
        <w:rPr>
          <w:b/>
          <w:sz w:val="28"/>
        </w:rPr>
        <w:t>The Relationship between Total Income of Families with Children and House Price Index in Canada from 2000 – 2019</w:t>
      </w: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pPr>
        <w:rPr>
          <w:b/>
        </w:rPr>
      </w:pPr>
    </w:p>
    <w:p w:rsidR="00C142A2" w:rsidRDefault="00C142A2" w:rsidP="00C142A2">
      <w:pPr>
        <w:jc w:val="right"/>
        <w:rPr>
          <w:b/>
        </w:rPr>
      </w:pPr>
      <w:r>
        <w:rPr>
          <w:b/>
        </w:rPr>
        <w:t xml:space="preserve">Student’s Name: </w:t>
      </w:r>
    </w:p>
    <w:p w:rsidR="00C142A2" w:rsidRDefault="00C142A2" w:rsidP="00C142A2">
      <w:pPr>
        <w:jc w:val="right"/>
        <w:rPr>
          <w:b/>
        </w:rPr>
      </w:pPr>
      <w:r>
        <w:rPr>
          <w:b/>
        </w:rPr>
        <w:t xml:space="preserve">Teacher’s Name: </w:t>
      </w:r>
    </w:p>
    <w:p w:rsidR="00C142A2" w:rsidRDefault="00C142A2" w:rsidP="00C142A2">
      <w:pPr>
        <w:jc w:val="right"/>
        <w:rPr>
          <w:b/>
        </w:rPr>
      </w:pPr>
    </w:p>
    <w:p w:rsidR="00C142A2" w:rsidRDefault="006B57CE" w:rsidP="00C142A2">
      <w:pPr>
        <w:rPr>
          <w:b/>
        </w:rPr>
      </w:pPr>
      <w:r>
        <w:rPr>
          <w:b/>
        </w:rPr>
        <w:lastRenderedPageBreak/>
        <w:t xml:space="preserve">Table of Content </w:t>
      </w:r>
    </w:p>
    <w:p w:rsidR="00C142A2" w:rsidRPr="00C142A2" w:rsidRDefault="00C142A2" w:rsidP="00C142A2">
      <w:pPr>
        <w:spacing w:line="360" w:lineRule="auto"/>
        <w:ind w:right="600"/>
        <w:jc w:val="right"/>
      </w:pPr>
      <w:r w:rsidRPr="00C142A2">
        <w:t>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558"/>
      </w:tblGrid>
      <w:tr w:rsidR="00C142A2" w:rsidRPr="00C142A2" w:rsidTr="00C142A2">
        <w:tc>
          <w:tcPr>
            <w:tcW w:w="7792" w:type="dxa"/>
          </w:tcPr>
          <w:p w:rsidR="00C142A2" w:rsidRPr="00C142A2" w:rsidRDefault="00C142A2" w:rsidP="00C142A2">
            <w:pPr>
              <w:spacing w:line="360" w:lineRule="auto"/>
            </w:pPr>
            <w:r w:rsidRPr="00C142A2">
              <w:t>Introduction</w:t>
            </w:r>
          </w:p>
        </w:tc>
        <w:tc>
          <w:tcPr>
            <w:tcW w:w="1558" w:type="dxa"/>
          </w:tcPr>
          <w:p w:rsidR="00C142A2" w:rsidRPr="00C142A2" w:rsidRDefault="00C142A2" w:rsidP="00C142A2">
            <w:pPr>
              <w:spacing w:line="360" w:lineRule="auto"/>
              <w:jc w:val="center"/>
            </w:pPr>
            <w:r w:rsidRPr="00C142A2">
              <w:t>2</w:t>
            </w:r>
          </w:p>
        </w:tc>
      </w:tr>
      <w:tr w:rsidR="00C142A2" w:rsidRPr="00C142A2" w:rsidTr="00C142A2">
        <w:tc>
          <w:tcPr>
            <w:tcW w:w="7792" w:type="dxa"/>
          </w:tcPr>
          <w:p w:rsidR="00C142A2" w:rsidRPr="00C142A2" w:rsidRDefault="00C142A2" w:rsidP="00C142A2">
            <w:pPr>
              <w:spacing w:line="360" w:lineRule="auto"/>
            </w:pPr>
            <w:r w:rsidRPr="00C142A2">
              <w:t xml:space="preserve">Analysis </w:t>
            </w:r>
          </w:p>
        </w:tc>
        <w:tc>
          <w:tcPr>
            <w:tcW w:w="1558" w:type="dxa"/>
          </w:tcPr>
          <w:p w:rsidR="00C142A2" w:rsidRPr="00C142A2" w:rsidRDefault="00C142A2" w:rsidP="00C142A2">
            <w:pPr>
              <w:spacing w:line="360" w:lineRule="auto"/>
              <w:jc w:val="center"/>
            </w:pPr>
            <w:r>
              <w:t>2</w:t>
            </w:r>
          </w:p>
        </w:tc>
      </w:tr>
      <w:tr w:rsidR="00C142A2" w:rsidRPr="00C142A2" w:rsidTr="00C142A2">
        <w:tc>
          <w:tcPr>
            <w:tcW w:w="7792" w:type="dxa"/>
          </w:tcPr>
          <w:p w:rsidR="00C142A2" w:rsidRPr="00C142A2" w:rsidRDefault="00C142A2" w:rsidP="00C142A2">
            <w:pPr>
              <w:pStyle w:val="ListParagraph"/>
              <w:numPr>
                <w:ilvl w:val="0"/>
                <w:numId w:val="9"/>
              </w:numPr>
              <w:spacing w:line="360" w:lineRule="auto"/>
            </w:pPr>
            <w:r w:rsidRPr="00C142A2">
              <w:t xml:space="preserve">Part 1: Math Calculation </w:t>
            </w:r>
          </w:p>
        </w:tc>
        <w:tc>
          <w:tcPr>
            <w:tcW w:w="1558" w:type="dxa"/>
          </w:tcPr>
          <w:p w:rsidR="00C142A2" w:rsidRPr="00C142A2" w:rsidRDefault="00C142A2" w:rsidP="00C142A2">
            <w:pPr>
              <w:spacing w:line="360" w:lineRule="auto"/>
              <w:jc w:val="center"/>
            </w:pPr>
            <w:r>
              <w:t>2</w:t>
            </w:r>
            <w:r w:rsidRPr="00C142A2">
              <w:t xml:space="preserve"> </w:t>
            </w:r>
          </w:p>
        </w:tc>
      </w:tr>
      <w:tr w:rsidR="00C142A2" w:rsidRPr="00C142A2" w:rsidTr="00C142A2">
        <w:tc>
          <w:tcPr>
            <w:tcW w:w="7792" w:type="dxa"/>
          </w:tcPr>
          <w:p w:rsidR="00C142A2" w:rsidRPr="00C142A2" w:rsidRDefault="00C142A2" w:rsidP="00C142A2">
            <w:pPr>
              <w:pStyle w:val="ListParagraph"/>
              <w:numPr>
                <w:ilvl w:val="0"/>
                <w:numId w:val="9"/>
              </w:numPr>
              <w:spacing w:line="360" w:lineRule="auto"/>
            </w:pPr>
            <w:r w:rsidRPr="00C142A2">
              <w:t xml:space="preserve">Part 2: Histogram and Line Graph </w:t>
            </w:r>
          </w:p>
        </w:tc>
        <w:tc>
          <w:tcPr>
            <w:tcW w:w="1558" w:type="dxa"/>
          </w:tcPr>
          <w:p w:rsidR="00C142A2" w:rsidRPr="00C142A2" w:rsidRDefault="00C142A2" w:rsidP="00C142A2">
            <w:pPr>
              <w:spacing w:line="360" w:lineRule="auto"/>
              <w:jc w:val="center"/>
            </w:pPr>
            <w:r>
              <w:t>6</w:t>
            </w:r>
          </w:p>
        </w:tc>
      </w:tr>
      <w:tr w:rsidR="00C142A2" w:rsidRPr="00C142A2" w:rsidTr="00C142A2">
        <w:tc>
          <w:tcPr>
            <w:tcW w:w="7792" w:type="dxa"/>
          </w:tcPr>
          <w:p w:rsidR="00C142A2" w:rsidRPr="00C142A2" w:rsidRDefault="00C142A2" w:rsidP="00C142A2">
            <w:pPr>
              <w:pStyle w:val="ListParagraph"/>
              <w:numPr>
                <w:ilvl w:val="0"/>
                <w:numId w:val="9"/>
              </w:numPr>
              <w:spacing w:line="360" w:lineRule="auto"/>
            </w:pPr>
            <w:r w:rsidRPr="00C142A2">
              <w:t xml:space="preserve">Part 3: Evaluation </w:t>
            </w:r>
          </w:p>
        </w:tc>
        <w:tc>
          <w:tcPr>
            <w:tcW w:w="1558" w:type="dxa"/>
          </w:tcPr>
          <w:p w:rsidR="00C142A2" w:rsidRPr="00C142A2" w:rsidRDefault="00C142A2" w:rsidP="00C142A2">
            <w:pPr>
              <w:spacing w:line="360" w:lineRule="auto"/>
              <w:jc w:val="center"/>
            </w:pPr>
            <w:r w:rsidRPr="00C142A2">
              <w:t>7</w:t>
            </w:r>
          </w:p>
        </w:tc>
      </w:tr>
      <w:tr w:rsidR="00C142A2" w:rsidRPr="00C142A2" w:rsidTr="00C142A2">
        <w:tc>
          <w:tcPr>
            <w:tcW w:w="7792" w:type="dxa"/>
          </w:tcPr>
          <w:p w:rsidR="00C142A2" w:rsidRPr="00C142A2" w:rsidRDefault="00C142A2" w:rsidP="00C142A2">
            <w:pPr>
              <w:spacing w:line="360" w:lineRule="auto"/>
            </w:pPr>
            <w:r w:rsidRPr="00C142A2">
              <w:t xml:space="preserve">Conclusion </w:t>
            </w:r>
          </w:p>
        </w:tc>
        <w:tc>
          <w:tcPr>
            <w:tcW w:w="1558" w:type="dxa"/>
          </w:tcPr>
          <w:p w:rsidR="00C142A2" w:rsidRPr="00C142A2" w:rsidRDefault="00C142A2" w:rsidP="00C142A2">
            <w:pPr>
              <w:spacing w:line="360" w:lineRule="auto"/>
              <w:jc w:val="center"/>
            </w:pPr>
            <w:r>
              <w:t>8</w:t>
            </w:r>
          </w:p>
        </w:tc>
      </w:tr>
      <w:tr w:rsidR="00C142A2" w:rsidRPr="00C142A2" w:rsidTr="00C142A2">
        <w:tc>
          <w:tcPr>
            <w:tcW w:w="7792" w:type="dxa"/>
          </w:tcPr>
          <w:p w:rsidR="00C142A2" w:rsidRPr="00C142A2" w:rsidRDefault="00C142A2" w:rsidP="00C142A2">
            <w:pPr>
              <w:spacing w:line="360" w:lineRule="auto"/>
            </w:pPr>
            <w:r w:rsidRPr="00C142A2">
              <w:t xml:space="preserve">Reference </w:t>
            </w:r>
          </w:p>
        </w:tc>
        <w:tc>
          <w:tcPr>
            <w:tcW w:w="1558" w:type="dxa"/>
          </w:tcPr>
          <w:p w:rsidR="00C142A2" w:rsidRPr="00C142A2" w:rsidRDefault="00C142A2" w:rsidP="00C142A2">
            <w:pPr>
              <w:spacing w:line="360" w:lineRule="auto"/>
              <w:jc w:val="center"/>
            </w:pPr>
            <w:r>
              <w:t>9</w:t>
            </w:r>
          </w:p>
        </w:tc>
      </w:tr>
    </w:tbl>
    <w:p w:rsidR="00C142A2" w:rsidRDefault="00C142A2">
      <w:pPr>
        <w:rPr>
          <w:b/>
        </w:rPr>
      </w:pPr>
    </w:p>
    <w:p w:rsidR="00C142A2" w:rsidRDefault="00C142A2">
      <w:pPr>
        <w:rPr>
          <w:b/>
        </w:rPr>
      </w:pPr>
    </w:p>
    <w:p w:rsidR="006B57CE" w:rsidRDefault="006B57CE">
      <w:pPr>
        <w:rPr>
          <w:b/>
        </w:rPr>
      </w:pPr>
      <w:r>
        <w:rPr>
          <w:b/>
        </w:rPr>
        <w:t>Introduction</w:t>
      </w:r>
    </w:p>
    <w:p w:rsidR="006B57CE" w:rsidRDefault="006B57CE">
      <w:pPr>
        <w:rPr>
          <w:b/>
        </w:rPr>
      </w:pPr>
    </w:p>
    <w:p w:rsidR="006B57CE" w:rsidRPr="003F0AB3" w:rsidRDefault="006B57CE" w:rsidP="003F0AB3">
      <w:pPr>
        <w:spacing w:line="360" w:lineRule="auto"/>
      </w:pPr>
      <w:r w:rsidRPr="006B57CE">
        <w:t xml:space="preserve">The </w:t>
      </w:r>
      <w:r>
        <w:t xml:space="preserve">aim of this project is to observe whether there is a correlation between total income of families with children and house price index in Canada from 2000 – 2019 by </w:t>
      </w:r>
      <w:r w:rsidR="003F0AB3">
        <w:t xml:space="preserve">analyzing measure of central tendency, measure of spread, and linear regression. </w:t>
      </w:r>
      <w:r w:rsidR="003F0AB3">
        <w:t xml:space="preserve">The house price has been climbing in the past two decades, as well as the family income due to the overall health of the economy. </w:t>
      </w:r>
      <w:r w:rsidR="00C142A2">
        <w:t xml:space="preserve">Therefore, the </w:t>
      </w:r>
      <w:r w:rsidR="003F0AB3">
        <w:t xml:space="preserve">null hypothesis of this project </w:t>
      </w:r>
      <w:r w:rsidR="00C142A2">
        <w:t xml:space="preserve">that I’m curious about </w:t>
      </w:r>
      <w:r w:rsidR="003F0AB3">
        <w:t>is: Higher the total income of family with children, higher the house price index. In order to</w:t>
      </w:r>
      <w:r w:rsidR="00C142A2">
        <w:t xml:space="preserve"> challenge the </w:t>
      </w:r>
      <w:r w:rsidR="003F0AB3">
        <w:t>null hypothesis,</w:t>
      </w:r>
      <w:r w:rsidR="003F0AB3">
        <w:t xml:space="preserve"> the data for total income of families with children were collected from </w:t>
      </w:r>
      <w:r w:rsidR="00C142A2">
        <w:t xml:space="preserve">the reliable source </w:t>
      </w:r>
      <w:r w:rsidR="003F0AB3">
        <w:t xml:space="preserve">Statista (Families are comprised of couples and single parents living with one or more children); and the data for house price index (Index 2010 = 100) were collected </w:t>
      </w:r>
      <w:r>
        <w:t xml:space="preserve">from FRED economic </w:t>
      </w:r>
      <w:r w:rsidR="003F0AB3" w:rsidRPr="009B2E27">
        <w:rPr>
          <w:color w:val="000000" w:themeColor="text1"/>
        </w:rPr>
        <w:t xml:space="preserve">data </w:t>
      </w:r>
      <w:r w:rsidR="009B2E27" w:rsidRPr="009B2E27">
        <w:rPr>
          <w:color w:val="000000" w:themeColor="text1"/>
        </w:rPr>
        <w:t>(</w:t>
      </w:r>
      <w:r w:rsidR="009B2E27" w:rsidRPr="009B2E27">
        <w:rPr>
          <w:i/>
          <w:iCs/>
          <w:color w:val="000000" w:themeColor="text1"/>
        </w:rPr>
        <w:t xml:space="preserve">Real </w:t>
      </w:r>
      <w:r w:rsidR="009B2E27">
        <w:rPr>
          <w:i/>
          <w:iCs/>
        </w:rPr>
        <w:t>residential property prices for Canada</w:t>
      </w:r>
      <w:r w:rsidR="009B2E27">
        <w:t>. FRED</w:t>
      </w:r>
      <w:r w:rsidR="009B2E27">
        <w:t xml:space="preserve">, </w:t>
      </w:r>
      <w:r w:rsidR="009B2E27">
        <w:t>2022, March 24</w:t>
      </w:r>
      <w:r w:rsidR="009B2E27">
        <w:t xml:space="preserve">; </w:t>
      </w:r>
      <w:r w:rsidR="009B2E27">
        <w:t>Statista).</w:t>
      </w:r>
      <w:r w:rsidR="009B2E27">
        <w:rPr>
          <w:color w:val="FF0000"/>
        </w:rPr>
        <w:t xml:space="preserve"> </w:t>
      </w:r>
      <w:r w:rsidR="003F0AB3">
        <w:t xml:space="preserve"> </w:t>
      </w:r>
    </w:p>
    <w:p w:rsidR="00C142A2" w:rsidRDefault="00C142A2">
      <w:pPr>
        <w:rPr>
          <w:b/>
        </w:rPr>
      </w:pPr>
    </w:p>
    <w:p w:rsidR="00C142A2" w:rsidRDefault="00C142A2">
      <w:pPr>
        <w:rPr>
          <w:b/>
        </w:rPr>
      </w:pPr>
    </w:p>
    <w:p w:rsidR="00C241D9" w:rsidRPr="006B57CE" w:rsidRDefault="00097391">
      <w:pPr>
        <w:rPr>
          <w:b/>
        </w:rPr>
      </w:pPr>
      <w:r w:rsidRPr="006B57CE">
        <w:rPr>
          <w:b/>
        </w:rPr>
        <w:t>Analysis</w:t>
      </w:r>
    </w:p>
    <w:p w:rsidR="00DF7DBA" w:rsidRPr="006B57CE" w:rsidRDefault="00DF7DBA">
      <w:pPr>
        <w:rPr>
          <w:b/>
        </w:rPr>
      </w:pPr>
    </w:p>
    <w:p w:rsidR="00097391" w:rsidRPr="006B57CE" w:rsidRDefault="00DF7DBA">
      <w:pPr>
        <w:rPr>
          <w:b/>
        </w:rPr>
      </w:pPr>
      <w:r w:rsidRPr="006B57CE">
        <w:rPr>
          <w:b/>
        </w:rPr>
        <w:t xml:space="preserve">Part 1: Math Calculations </w:t>
      </w:r>
    </w:p>
    <w:p w:rsidR="00DF7DBA" w:rsidRDefault="00DF7DBA"/>
    <w:p w:rsidR="00097391" w:rsidRDefault="00097391" w:rsidP="00097391">
      <w:pPr>
        <w:pStyle w:val="ListParagraph"/>
        <w:numPr>
          <w:ilvl w:val="0"/>
          <w:numId w:val="1"/>
        </w:numPr>
      </w:pPr>
      <w:r>
        <w:t>Measure of Central Tendency of independent variable: Total income of families with children in Canada from 2000 to 2019</w:t>
      </w:r>
    </w:p>
    <w:p w:rsidR="00097391" w:rsidRDefault="00097391" w:rsidP="00097391">
      <w:pPr>
        <w:pStyle w:val="ListParagraph"/>
      </w:pPr>
    </w:p>
    <w:p w:rsidR="00097391" w:rsidRDefault="00097391" w:rsidP="00097391">
      <w:pPr>
        <w:pStyle w:val="ListParagraph"/>
      </w:pPr>
      <w:r>
        <w:t xml:space="preserve">Mean: is the sum of the values in a set of data divided by the  number of values in the set. </w:t>
      </w:r>
    </w:p>
    <w:p w:rsidR="00097391" w:rsidRDefault="00097391" w:rsidP="00097391">
      <w:pPr>
        <w:pStyle w:val="ListParagraph"/>
      </w:pPr>
    </w:p>
    <w:p w:rsidR="00097391" w:rsidRPr="00097391" w:rsidRDefault="00097391" w:rsidP="00097391">
      <w:pPr>
        <w:pStyle w:val="ListParagraph"/>
      </w:pPr>
      <w:r>
        <w:t xml:space="preserve">Mean = </w:t>
      </w:r>
      <m:oMath>
        <m:f>
          <m:fPr>
            <m:ctrlPr>
              <w:rPr>
                <w:rFonts w:ascii="Cambria Math" w:eastAsiaTheme="minorEastAsia" w:hAnsi="Cambria Math" w:cstheme="minorBidi"/>
                <w:i/>
              </w:rPr>
            </m:ctrlPr>
          </m:fPr>
          <m:num>
            <m:nary>
              <m:naryPr>
                <m:chr m:val="∑"/>
                <m:limLoc m:val="undOvr"/>
                <m:subHide m:val="1"/>
                <m:supHide m:val="1"/>
                <m:ctrlPr>
                  <w:rPr>
                    <w:rFonts w:ascii="Cambria Math" w:eastAsiaTheme="minorEastAsia" w:hAnsi="Cambria Math" w:cstheme="minorBidi"/>
                    <w:i/>
                  </w:rPr>
                </m:ctrlPr>
              </m:naryPr>
              <m:sub/>
              <m:sup/>
              <m:e>
                <m:r>
                  <w:rPr>
                    <w:rFonts w:ascii="Cambria Math" w:hAnsi="Cambria Math"/>
                  </w:rPr>
                  <m:t>x</m:t>
                </m:r>
              </m:e>
            </m:nary>
          </m:num>
          <m:den>
            <m:r>
              <w:rPr>
                <w:rFonts w:ascii="Cambria Math" w:hAnsi="Cambria Math"/>
              </w:rPr>
              <m:t>n</m:t>
            </m:r>
          </m:den>
        </m:f>
        <m:r>
          <w:rPr>
            <w:rFonts w:ascii="Cambria Math" w:hAnsi="Cambria Math"/>
          </w:rPr>
          <m:t>=</m:t>
        </m:r>
        <m:f>
          <m:fPr>
            <m:ctrlPr>
              <w:rPr>
                <w:rFonts w:ascii="Cambria Math" w:eastAsiaTheme="minorEastAsia" w:hAnsi="Cambria Math" w:cstheme="minorBidi"/>
                <w:i/>
              </w:rPr>
            </m:ctrlPr>
          </m:fPr>
          <m:num>
            <m:r>
              <w:rPr>
                <w:rFonts w:ascii="Cambria Math" w:hAnsi="Cambria Math"/>
              </w:rPr>
              <m:t>53700+56700+58600+…+102550</m:t>
            </m:r>
          </m:num>
          <m:den>
            <m:r>
              <w:rPr>
                <w:rFonts w:ascii="Cambria Math" w:hAnsi="Cambria Math"/>
              </w:rPr>
              <m:t>20</m:t>
            </m:r>
          </m:den>
        </m:f>
        <m:r>
          <w:rPr>
            <w:rFonts w:ascii="Cambria Math" w:hAnsi="Cambria Math"/>
          </w:rPr>
          <m:t>=$76,533</m:t>
        </m:r>
      </m:oMath>
    </w:p>
    <w:p w:rsidR="00097391" w:rsidRDefault="00097391" w:rsidP="00097391">
      <w:pPr>
        <w:pStyle w:val="ListParagraph"/>
      </w:pPr>
    </w:p>
    <w:p w:rsidR="00097391" w:rsidRDefault="00097391" w:rsidP="00097391">
      <w:pPr>
        <w:pStyle w:val="ListParagraph"/>
      </w:pPr>
      <w:r>
        <w:t xml:space="preserve">Median: is the middle value when values are ranked from highest to lowest. </w:t>
      </w:r>
    </w:p>
    <w:p w:rsidR="00097391" w:rsidRDefault="00097391" w:rsidP="00097391">
      <w:pPr>
        <w:pStyle w:val="ListParagraph"/>
      </w:pPr>
    </w:p>
    <w:p w:rsidR="00097391" w:rsidRDefault="00097391" w:rsidP="00097391">
      <w:pPr>
        <w:pStyle w:val="ListParagraph"/>
      </w:pPr>
      <w:r>
        <w:t xml:space="preserve">Median = </w:t>
      </w:r>
      <m:oMath>
        <m:f>
          <m:fPr>
            <m:ctrlPr>
              <w:rPr>
                <w:rFonts w:ascii="Cambria Math" w:eastAsiaTheme="minorEastAsia" w:hAnsi="Cambria Math" w:cstheme="minorBidi"/>
                <w:i/>
              </w:rPr>
            </m:ctrlPr>
          </m:fPr>
          <m:num>
            <m:r>
              <w:rPr>
                <w:rFonts w:ascii="Cambria Math" w:hAnsi="Cambria Math"/>
              </w:rPr>
              <m:t>74690+75980</m:t>
            </m:r>
          </m:num>
          <m:den>
            <m:r>
              <w:rPr>
                <w:rFonts w:ascii="Cambria Math" w:hAnsi="Cambria Math"/>
              </w:rPr>
              <m:t>2</m:t>
            </m:r>
          </m:den>
        </m:f>
        <m:r>
          <w:rPr>
            <w:rFonts w:ascii="Cambria Math" w:hAnsi="Cambria Math"/>
          </w:rPr>
          <m:t>=$75,335</m:t>
        </m:r>
      </m:oMath>
    </w:p>
    <w:p w:rsidR="00097391" w:rsidRDefault="00097391"/>
    <w:p w:rsidR="00097391" w:rsidRDefault="00097391" w:rsidP="00097391">
      <w:pPr>
        <w:pStyle w:val="ListParagraph"/>
      </w:pPr>
      <w:r>
        <w:t xml:space="preserve">Mode: is the value which occurs the most frequent in a set of data. </w:t>
      </w:r>
    </w:p>
    <w:p w:rsidR="00097391" w:rsidRDefault="00097391"/>
    <w:p w:rsidR="00097391" w:rsidRDefault="00097391" w:rsidP="00097391">
      <w:pPr>
        <w:pStyle w:val="ListParagraph"/>
      </w:pPr>
      <w:r>
        <w:t>Mode = N/A because there is no repeated values</w:t>
      </w:r>
    </w:p>
    <w:p w:rsidR="00097391" w:rsidRDefault="00097391" w:rsidP="00097391">
      <w:pPr>
        <w:pStyle w:val="ListParagraph"/>
      </w:pPr>
    </w:p>
    <w:p w:rsidR="00097391" w:rsidRDefault="00097391" w:rsidP="00097391">
      <w:pPr>
        <w:pStyle w:val="ListParagraph"/>
        <w:numPr>
          <w:ilvl w:val="0"/>
          <w:numId w:val="1"/>
        </w:numPr>
      </w:pPr>
      <w:r>
        <w:t xml:space="preserve">Measure of Spread: </w:t>
      </w:r>
    </w:p>
    <w:p w:rsidR="00097391" w:rsidRDefault="00097391" w:rsidP="00097391">
      <w:pPr>
        <w:pStyle w:val="ListParagraph"/>
      </w:pPr>
    </w:p>
    <w:p w:rsidR="00097391" w:rsidRDefault="00097391" w:rsidP="00097391">
      <w:pPr>
        <w:pStyle w:val="ListParagraph"/>
        <w:numPr>
          <w:ilvl w:val="0"/>
          <w:numId w:val="4"/>
        </w:numPr>
      </w:pPr>
      <w:r>
        <w:t>Independent variable: Total income</w:t>
      </w:r>
    </w:p>
    <w:p w:rsidR="00097391" w:rsidRDefault="00097391" w:rsidP="00097391">
      <w:pPr>
        <w:pStyle w:val="ListParagraph"/>
        <w:ind w:left="1440"/>
      </w:pPr>
    </w:p>
    <w:p w:rsidR="00055313" w:rsidRDefault="00097391" w:rsidP="00055313">
      <w:pPr>
        <w:pStyle w:val="ListParagraph"/>
        <w:numPr>
          <w:ilvl w:val="0"/>
          <w:numId w:val="5"/>
        </w:numPr>
      </w:pPr>
      <w:r>
        <w:t>Standard deviation</w:t>
      </w:r>
      <w:r w:rsidR="00055313">
        <w:t xml:space="preserve"> and Va</w:t>
      </w:r>
      <w:r w:rsidR="008A10DA">
        <w:t>riance</w:t>
      </w:r>
      <w:r w:rsidR="00055313">
        <w:t xml:space="preserve">: shows how values in a distribution are centered about the mean. </w:t>
      </w:r>
    </w:p>
    <w:p w:rsidR="00055313" w:rsidRPr="00055313" w:rsidRDefault="00055313" w:rsidP="00055313">
      <w:pPr>
        <w:pStyle w:val="ListParagraph"/>
        <w:ind w:left="2160"/>
      </w:pPr>
      <w:r>
        <w:t xml:space="preserve">Standard deviation, </w:t>
      </w:r>
      <m:oMath>
        <m:r>
          <w:rPr>
            <w:rFonts w:ascii="Cambria Math" w:hAnsi="Cambria Math"/>
          </w:rPr>
          <m:t>σ</m:t>
        </m:r>
      </m:oMath>
      <w:r>
        <w:t xml:space="preserve"> = </w:t>
      </w:r>
      <m:oMath>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(x-u</m:t>
                    </m:r>
                    <m:sSup>
                      <m:sSupPr>
                        <m:ctrlPr>
                          <w:rPr>
                            <w:rFonts w:ascii="Cambria Math" w:hAnsi="Cambria Math"/>
                            <w:i/>
                          </w:rPr>
                        </m:ctrlPr>
                      </m:sSupPr>
                      <m:e>
                        <m:r>
                          <w:rPr>
                            <w:rFonts w:ascii="Cambria Math" w:hAnsi="Cambria Math"/>
                          </w:rPr>
                          <m:t>)</m:t>
                        </m:r>
                      </m:e>
                      <m:sup>
                        <m:r>
                          <w:rPr>
                            <w:rFonts w:ascii="Cambria Math" w:hAnsi="Cambria Math"/>
                          </w:rPr>
                          <m:t>2</m:t>
                        </m:r>
                      </m:sup>
                    </m:sSup>
                  </m:e>
                </m:nary>
              </m:num>
              <m:den>
                <m:r>
                  <w:rPr>
                    <w:rFonts w:ascii="Cambria Math" w:hAnsi="Cambria Math"/>
                  </w:rPr>
                  <m:t>n</m:t>
                </m:r>
              </m:den>
            </m:f>
          </m:e>
        </m:rad>
      </m:oMath>
      <w:r>
        <w:t xml:space="preserve"> and variance = </w:t>
      </w:r>
      <m:oMath>
        <m:sSup>
          <m:sSupPr>
            <m:ctrlPr>
              <w:rPr>
                <w:rFonts w:ascii="Cambria Math" w:hAnsi="Cambria Math"/>
                <w:i/>
              </w:rPr>
            </m:ctrlPr>
          </m:sSupPr>
          <m:e>
            <m:r>
              <w:rPr>
                <w:rFonts w:ascii="Cambria Math" w:hAnsi="Cambria Math"/>
              </w:rPr>
              <m:t>σ</m:t>
            </m:r>
          </m:e>
          <m:sup>
            <m:r>
              <w:rPr>
                <w:rFonts w:ascii="Cambria Math" w:hAnsi="Cambria Math"/>
              </w:rPr>
              <m:t>2</m:t>
            </m:r>
          </m:sup>
        </m:sSup>
      </m:oMath>
    </w:p>
    <w:p w:rsidR="00055313" w:rsidRDefault="00055313" w:rsidP="00055313">
      <w:pPr>
        <w:pStyle w:val="ListParagraph"/>
        <w:ind w:left="2160"/>
      </w:pPr>
    </w:p>
    <w:p w:rsidR="008E0E8E" w:rsidRDefault="008E0E8E" w:rsidP="00055313">
      <w:pPr>
        <w:pStyle w:val="ListParagraph"/>
        <w:ind w:left="2160"/>
      </w:pPr>
      <w:r>
        <w:t xml:space="preserve">Table 1: </w:t>
      </w:r>
    </w:p>
    <w:tbl>
      <w:tblPr>
        <w:tblW w:w="7249" w:type="dxa"/>
        <w:tblInd w:w="2122" w:type="dxa"/>
        <w:tblLook w:val="04A0" w:firstRow="1" w:lastRow="0" w:firstColumn="1" w:lastColumn="0" w:noHBand="0" w:noVBand="1"/>
      </w:tblPr>
      <w:tblGrid>
        <w:gridCol w:w="990"/>
        <w:gridCol w:w="3112"/>
        <w:gridCol w:w="1375"/>
        <w:gridCol w:w="1772"/>
      </w:tblGrid>
      <w:tr w:rsidR="00030CFA" w:rsidRPr="00055313" w:rsidTr="00030CFA">
        <w:trPr>
          <w:trHeight w:val="17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313" w:rsidRPr="00055313" w:rsidRDefault="00930591" w:rsidP="00055313">
            <w:pPr>
              <w:jc w:val="center"/>
              <w:rPr>
                <w:rFonts w:ascii="Calibri" w:hAnsi="Calibri"/>
                <w:color w:val="000000"/>
                <w:sz w:val="20"/>
                <w:szCs w:val="20"/>
              </w:rPr>
            </w:pPr>
            <w:r w:rsidRPr="00AC6383">
              <w:rPr>
                <w:rFonts w:ascii="Calibri" w:hAnsi="Calibri"/>
                <w:color w:val="000000"/>
                <w:sz w:val="20"/>
                <w:szCs w:val="20"/>
              </w:rPr>
              <w:t>Year</w:t>
            </w:r>
          </w:p>
        </w:tc>
        <w:tc>
          <w:tcPr>
            <w:tcW w:w="3112" w:type="dxa"/>
            <w:tcBorders>
              <w:top w:val="single" w:sz="4" w:space="0" w:color="auto"/>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Income of Families with Children (x)</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x-u</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(x-u)^2</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2000</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53700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-22833</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521345889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2001</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56700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-19833</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393347889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2002</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58600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-17933</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321592489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2003</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59300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-17233</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296976289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2004</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61600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-14933</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222994489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2005</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64900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-11633</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135326689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2006</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68400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-8133</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66145689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2007</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71920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-4613</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21279769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2008</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74690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-1843</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3396649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2009</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74190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-2343</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5489649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2010</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75980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-553</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305809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2011</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78890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2357</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5555449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2012</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81670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5137</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26388769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2013</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84270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7737</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59861169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2014</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87200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10667</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113784889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2015</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89860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13327</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177608929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2016</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91650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15117</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228523689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2017</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95250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18717</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350326089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2018</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99340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22807</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520159249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2019</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102550</w:t>
            </w: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26017</w:t>
            </w: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676884289</w:t>
            </w:r>
          </w:p>
        </w:tc>
      </w:tr>
      <w:tr w:rsidR="00030CFA" w:rsidRPr="00055313" w:rsidTr="00030CFA">
        <w:trPr>
          <w:trHeight w:val="17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Sum</w:t>
            </w:r>
          </w:p>
        </w:tc>
        <w:tc>
          <w:tcPr>
            <w:tcW w:w="311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p>
        </w:tc>
        <w:tc>
          <w:tcPr>
            <w:tcW w:w="1375"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p>
        </w:tc>
        <w:tc>
          <w:tcPr>
            <w:tcW w:w="1772" w:type="dxa"/>
            <w:tcBorders>
              <w:top w:val="nil"/>
              <w:left w:val="nil"/>
              <w:bottom w:val="single" w:sz="4" w:space="0" w:color="auto"/>
              <w:right w:val="single" w:sz="4" w:space="0" w:color="auto"/>
            </w:tcBorders>
            <w:shd w:val="clear" w:color="auto" w:fill="auto"/>
            <w:noWrap/>
            <w:vAlign w:val="bottom"/>
            <w:hideMark/>
          </w:tcPr>
          <w:p w:rsidR="00055313" w:rsidRPr="00055313" w:rsidRDefault="00055313" w:rsidP="00055313">
            <w:pPr>
              <w:jc w:val="center"/>
              <w:rPr>
                <w:rFonts w:ascii="Calibri" w:hAnsi="Calibri"/>
                <w:color w:val="000000"/>
                <w:sz w:val="20"/>
                <w:szCs w:val="20"/>
              </w:rPr>
            </w:pPr>
            <w:r w:rsidRPr="00055313">
              <w:rPr>
                <w:rFonts w:ascii="Calibri" w:hAnsi="Calibri"/>
                <w:color w:val="000000"/>
                <w:sz w:val="20"/>
                <w:szCs w:val="20"/>
              </w:rPr>
              <w:t>4147293820</w:t>
            </w:r>
          </w:p>
        </w:tc>
      </w:tr>
    </w:tbl>
    <w:p w:rsidR="00055313" w:rsidRDefault="00055313" w:rsidP="00055313">
      <w:pPr>
        <w:pStyle w:val="ListParagraph"/>
        <w:ind w:left="2160"/>
      </w:pPr>
    </w:p>
    <w:p w:rsidR="00055313" w:rsidRDefault="00055313" w:rsidP="00055313">
      <w:pPr>
        <w:pStyle w:val="ListParagraph"/>
        <w:ind w:left="2160"/>
      </w:pPr>
      <w:r>
        <w:t xml:space="preserve">Standard deviation, </w:t>
      </w:r>
      <m:oMath>
        <m:r>
          <w:rPr>
            <w:rFonts w:ascii="Cambria Math" w:hAnsi="Cambria Math"/>
          </w:rPr>
          <m:t>σ</m:t>
        </m:r>
      </m:oMath>
      <w:r>
        <w:t xml:space="preserve"> =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4147293820</m:t>
                </m:r>
              </m:num>
              <m:den>
                <m:r>
                  <w:rPr>
                    <w:rFonts w:ascii="Cambria Math" w:hAnsi="Cambria Math"/>
                  </w:rPr>
                  <m:t>20</m:t>
                </m:r>
              </m:den>
            </m:f>
          </m:e>
        </m:rad>
        <m:r>
          <w:rPr>
            <w:rFonts w:ascii="Cambria Math" w:hAnsi="Cambria Math"/>
          </w:rPr>
          <m:t>=$14,400.16</m:t>
        </m:r>
      </m:oMath>
    </w:p>
    <w:p w:rsidR="00055313" w:rsidRPr="00055313" w:rsidRDefault="00055313" w:rsidP="00055313">
      <w:pPr>
        <w:pStyle w:val="ListParagraph"/>
        <w:ind w:left="2160"/>
      </w:pPr>
      <w:r>
        <w:t xml:space="preserve">variance = </w:t>
      </w:r>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=207,364,691</m:t>
        </m:r>
      </m:oMath>
    </w:p>
    <w:p w:rsidR="00055313" w:rsidRPr="00055313" w:rsidRDefault="00055313" w:rsidP="00055313"/>
    <w:p w:rsidR="008A10DA" w:rsidRDefault="008A10DA" w:rsidP="00097391">
      <w:pPr>
        <w:pStyle w:val="ListParagraph"/>
        <w:numPr>
          <w:ilvl w:val="0"/>
          <w:numId w:val="5"/>
        </w:numPr>
      </w:pPr>
      <w:r>
        <w:t>I</w:t>
      </w:r>
      <w:r w:rsidR="00055313">
        <w:t xml:space="preserve">nterquartile range: is the range for the middle half of the data, or </w:t>
      </w:r>
      <m:oMath>
        <m:sSub>
          <m:sSubPr>
            <m:ctrlPr>
              <w:rPr>
                <w:rFonts w:ascii="Cambria Math" w:hAnsi="Cambria Math"/>
                <w:i/>
              </w:rPr>
            </m:ctrlPr>
          </m:sSubPr>
          <m:e>
            <m:r>
              <w:rPr>
                <w:rFonts w:ascii="Cambria Math" w:hAnsi="Cambria Math"/>
              </w:rPr>
              <m:t>Q</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1</m:t>
            </m:r>
          </m:sub>
        </m:sSub>
      </m:oMath>
    </w:p>
    <w:p w:rsidR="00055313" w:rsidRDefault="00055313" w:rsidP="00055313">
      <w:pPr>
        <w:pStyle w:val="ListParagraph"/>
        <w:ind w:left="2160"/>
      </w:pPr>
    </w:p>
    <w:p w:rsidR="00055313" w:rsidRDefault="00055313" w:rsidP="00055313">
      <w:pPr>
        <w:pStyle w:val="ListParagraph"/>
        <w:ind w:left="2160"/>
      </w:pP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61600+64900</m:t>
            </m:r>
          </m:num>
          <m:den>
            <m:r>
              <w:rPr>
                <w:rFonts w:ascii="Cambria Math" w:hAnsi="Cambria Math"/>
              </w:rPr>
              <m:t>2</m:t>
            </m:r>
          </m:den>
        </m:f>
        <m:r>
          <w:rPr>
            <w:rFonts w:ascii="Cambria Math" w:hAnsi="Cambria Math"/>
          </w:rPr>
          <m:t>=$63,250</m:t>
        </m:r>
      </m:oMath>
      <w:r>
        <w:t xml:space="preserve"> and </w:t>
      </w:r>
      <m:oMath>
        <m:sSub>
          <m:sSubPr>
            <m:ctrlPr>
              <w:rPr>
                <w:rFonts w:ascii="Cambria Math" w:hAnsi="Cambria Math"/>
                <w:i/>
              </w:rPr>
            </m:ctrlPr>
          </m:sSubPr>
          <m:e>
            <m:r>
              <w:rPr>
                <w:rFonts w:ascii="Cambria Math" w:hAnsi="Cambria Math"/>
              </w:rPr>
              <m:t>Q</m:t>
            </m:r>
          </m:e>
          <m:sub>
            <m:r>
              <w:rPr>
                <w:rFonts w:ascii="Cambria Math" w:hAnsi="Cambria Math"/>
              </w:rPr>
              <m:t>3</m:t>
            </m:r>
          </m:sub>
        </m:sSub>
        <m:r>
          <w:rPr>
            <w:rFonts w:ascii="Cambria Math" w:hAnsi="Cambria Math"/>
          </w:rPr>
          <m:t>=</m:t>
        </m:r>
        <m:f>
          <m:fPr>
            <m:ctrlPr>
              <w:rPr>
                <w:rFonts w:ascii="Cambria Math" w:hAnsi="Cambria Math"/>
                <w:i/>
              </w:rPr>
            </m:ctrlPr>
          </m:fPr>
          <m:num>
            <m:r>
              <w:rPr>
                <w:rFonts w:ascii="Cambria Math" w:hAnsi="Cambria Math"/>
              </w:rPr>
              <m:t>87200+89860</m:t>
            </m:r>
          </m:num>
          <m:den>
            <m:r>
              <w:rPr>
                <w:rFonts w:ascii="Cambria Math" w:hAnsi="Cambria Math"/>
              </w:rPr>
              <m:t>2</m:t>
            </m:r>
          </m:den>
        </m:f>
        <m:r>
          <w:rPr>
            <w:rFonts w:ascii="Cambria Math" w:hAnsi="Cambria Math"/>
          </w:rPr>
          <m:t>=$</m:t>
        </m:r>
        <m:r>
          <w:rPr>
            <w:rFonts w:ascii="Cambria Math" w:hAnsi="Cambria Math"/>
          </w:rPr>
          <m:t>88,530</m:t>
        </m:r>
      </m:oMath>
      <w:r>
        <w:t xml:space="preserve"> </w:t>
      </w:r>
    </w:p>
    <w:p w:rsidR="00055313" w:rsidRDefault="00055313" w:rsidP="00055313">
      <w:pPr>
        <w:pStyle w:val="ListParagraph"/>
        <w:ind w:left="2160"/>
      </w:pPr>
      <m:oMath>
        <m:sSub>
          <m:sSubPr>
            <m:ctrlPr>
              <w:rPr>
                <w:rFonts w:ascii="Cambria Math" w:hAnsi="Cambria Math"/>
                <w:i/>
              </w:rPr>
            </m:ctrlPr>
          </m:sSubPr>
          <m:e>
            <m:r>
              <w:rPr>
                <w:rFonts w:ascii="Cambria Math" w:hAnsi="Cambria Math"/>
              </w:rPr>
              <m:t>Q</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=88530-63250=$25,280</m:t>
        </m:r>
      </m:oMath>
      <w:r>
        <w:t xml:space="preserve"> </w:t>
      </w:r>
    </w:p>
    <w:p w:rsidR="00055313" w:rsidRDefault="00055313" w:rsidP="00055313">
      <w:pPr>
        <w:pStyle w:val="ListParagraph"/>
        <w:ind w:left="2160"/>
      </w:pPr>
    </w:p>
    <w:p w:rsidR="008A10DA" w:rsidRDefault="008A10DA" w:rsidP="00097391">
      <w:pPr>
        <w:pStyle w:val="ListParagraph"/>
        <w:numPr>
          <w:ilvl w:val="0"/>
          <w:numId w:val="5"/>
        </w:numPr>
      </w:pPr>
      <w:r>
        <w:t>z-score</w:t>
      </w:r>
      <w:r w:rsidR="00055313">
        <w:t xml:space="preserve">: is a measure of how many standard deviation is a particular data value is from the mean, </w:t>
      </w:r>
      <m:oMath>
        <m:r>
          <w:rPr>
            <w:rFonts w:ascii="Cambria Math" w:hAnsi="Cambria Math"/>
          </w:rPr>
          <m:t>z=</m:t>
        </m:r>
        <m:f>
          <m:fPr>
            <m:ctrlPr>
              <w:rPr>
                <w:rFonts w:ascii="Cambria Math" w:hAnsi="Cambria Math"/>
                <w:i/>
              </w:rPr>
            </m:ctrlPr>
          </m:fPr>
          <m:num>
            <m:r>
              <w:rPr>
                <w:rFonts w:ascii="Cambria Math" w:hAnsi="Cambria Math"/>
              </w:rPr>
              <m:t>x-u</m:t>
            </m:r>
          </m:num>
          <m:den>
            <m:r>
              <w:rPr>
                <w:rFonts w:ascii="Cambria Math" w:hAnsi="Cambria Math"/>
              </w:rPr>
              <m:t>σ</m:t>
            </m:r>
          </m:den>
        </m:f>
      </m:oMath>
      <w:r w:rsidR="00055313">
        <w:t>.</w:t>
      </w:r>
    </w:p>
    <w:p w:rsidR="00055313" w:rsidRDefault="00055313" w:rsidP="00055313">
      <w:pPr>
        <w:pStyle w:val="ListParagraph"/>
        <w:ind w:left="2160"/>
      </w:pPr>
    </w:p>
    <w:p w:rsidR="00055313" w:rsidRDefault="00930591" w:rsidP="00930591">
      <w:pPr>
        <w:pStyle w:val="ListParagraph"/>
        <w:ind w:left="2160"/>
      </w:pPr>
      <w:r>
        <w:t>I</w:t>
      </w:r>
      <w:r w:rsidR="00055313">
        <w:t xml:space="preserve">n year 2000, the z-score of family income = </w:t>
      </w:r>
      <m:oMath>
        <m:f>
          <m:fPr>
            <m:ctrlPr>
              <w:rPr>
                <w:rFonts w:ascii="Cambria Math" w:hAnsi="Cambria Math"/>
                <w:i/>
              </w:rPr>
            </m:ctrlPr>
          </m:fPr>
          <m:num>
            <m:r>
              <w:rPr>
                <w:rFonts w:ascii="Cambria Math" w:hAnsi="Cambria Math"/>
              </w:rPr>
              <m:t>53700</m:t>
            </m:r>
            <m:r>
              <w:rPr>
                <w:rFonts w:ascii="Cambria Math" w:hAnsi="Cambria Math"/>
              </w:rPr>
              <m:t>-</m:t>
            </m:r>
            <m:r>
              <w:rPr>
                <w:rFonts w:ascii="Cambria Math" w:hAnsi="Cambria Math"/>
              </w:rPr>
              <m:t>76533</m:t>
            </m:r>
          </m:num>
          <m:den>
            <m:r>
              <w:rPr>
                <w:rFonts w:ascii="Cambria Math" w:hAnsi="Cambria Math"/>
              </w:rPr>
              <m:t>14400.16</m:t>
            </m:r>
          </m:den>
        </m:f>
        <m:r>
          <w:rPr>
            <w:rFonts w:ascii="Cambria Math" w:hAnsi="Cambria Math"/>
          </w:rPr>
          <m:t>=-1.59</m:t>
        </m:r>
      </m:oMath>
    </w:p>
    <w:p w:rsidR="00930591" w:rsidRDefault="00930591" w:rsidP="00930591">
      <w:pPr>
        <w:pStyle w:val="ListParagraph"/>
        <w:ind w:left="2160"/>
      </w:pPr>
    </w:p>
    <w:p w:rsidR="00930591" w:rsidRDefault="00930591" w:rsidP="00930591">
      <w:pPr>
        <w:pStyle w:val="ListParagraph"/>
        <w:ind w:left="2160"/>
      </w:pPr>
      <w:r>
        <w:t xml:space="preserve">The z-score for all data values are shown below: </w:t>
      </w:r>
    </w:p>
    <w:p w:rsidR="00930591" w:rsidRDefault="00930591" w:rsidP="00930591">
      <w:pPr>
        <w:pStyle w:val="ListParagraph"/>
        <w:ind w:left="2160"/>
      </w:pPr>
    </w:p>
    <w:p w:rsidR="008E0E8E" w:rsidRDefault="008E0E8E" w:rsidP="00930591">
      <w:pPr>
        <w:pStyle w:val="ListParagraph"/>
        <w:ind w:left="2160"/>
      </w:pPr>
      <w:r>
        <w:t xml:space="preserve">Table 2: </w:t>
      </w:r>
    </w:p>
    <w:tbl>
      <w:tblPr>
        <w:tblW w:w="7237" w:type="dxa"/>
        <w:tblInd w:w="2122" w:type="dxa"/>
        <w:tblLook w:val="04A0" w:firstRow="1" w:lastRow="0" w:firstColumn="1" w:lastColumn="0" w:noHBand="0" w:noVBand="1"/>
      </w:tblPr>
      <w:tblGrid>
        <w:gridCol w:w="1476"/>
        <w:gridCol w:w="4137"/>
        <w:gridCol w:w="1624"/>
      </w:tblGrid>
      <w:tr w:rsidR="00030CFA" w:rsidTr="00030CFA">
        <w:trPr>
          <w:trHeight w:val="280"/>
        </w:trPr>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Year</w:t>
            </w:r>
          </w:p>
        </w:tc>
        <w:tc>
          <w:tcPr>
            <w:tcW w:w="4137" w:type="dxa"/>
            <w:tcBorders>
              <w:top w:val="single" w:sz="4" w:space="0" w:color="auto"/>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Income of Families with Children (x)</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z-score</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2000</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53700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-1.59</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2001</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56700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-1.38</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2002</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58600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-1.25</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2003</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59300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-1.20</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2004</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61600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-1.04</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2005</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64900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-0.81</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2006</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68400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-0.56</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2007</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71920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-0.32</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2008</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74690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-0.13</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2009</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74190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-0.16</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2010</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75980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-0.04</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2011</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78890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0.16</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2012</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81670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0.36</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2013</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84270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0.54</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2014</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87200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0.74</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2015</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89860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0.93</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2016</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91650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1.05</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2017</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95250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1.30</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2018</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99340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1.58</w:t>
            </w:r>
          </w:p>
        </w:tc>
      </w:tr>
      <w:tr w:rsidR="00930591" w:rsidTr="00030CFA">
        <w:trPr>
          <w:trHeight w:val="28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2019</w:t>
            </w:r>
          </w:p>
        </w:tc>
        <w:tc>
          <w:tcPr>
            <w:tcW w:w="4137"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102550</w:t>
            </w:r>
          </w:p>
        </w:tc>
        <w:tc>
          <w:tcPr>
            <w:tcW w:w="1624" w:type="dxa"/>
            <w:tcBorders>
              <w:top w:val="nil"/>
              <w:left w:val="nil"/>
              <w:bottom w:val="single" w:sz="4" w:space="0" w:color="auto"/>
              <w:right w:val="single" w:sz="4" w:space="0" w:color="auto"/>
            </w:tcBorders>
            <w:shd w:val="clear" w:color="auto" w:fill="auto"/>
            <w:noWrap/>
            <w:vAlign w:val="bottom"/>
            <w:hideMark/>
          </w:tcPr>
          <w:p w:rsidR="00930591" w:rsidRPr="00AC6383" w:rsidRDefault="00930591">
            <w:pPr>
              <w:jc w:val="center"/>
              <w:rPr>
                <w:rFonts w:ascii="Calibri" w:hAnsi="Calibri"/>
                <w:color w:val="000000"/>
                <w:sz w:val="20"/>
                <w:szCs w:val="20"/>
              </w:rPr>
            </w:pPr>
            <w:r w:rsidRPr="00AC6383">
              <w:rPr>
                <w:rFonts w:ascii="Calibri" w:hAnsi="Calibri"/>
                <w:color w:val="000000"/>
                <w:sz w:val="20"/>
                <w:szCs w:val="20"/>
              </w:rPr>
              <w:t>1.81</w:t>
            </w:r>
          </w:p>
        </w:tc>
      </w:tr>
    </w:tbl>
    <w:p w:rsidR="00930591" w:rsidRDefault="00930591" w:rsidP="00C142A2"/>
    <w:p w:rsidR="00A55A12" w:rsidRDefault="00A55A12" w:rsidP="00A55A12">
      <w:pPr>
        <w:pStyle w:val="ListParagraph"/>
        <w:numPr>
          <w:ilvl w:val="0"/>
          <w:numId w:val="4"/>
        </w:numPr>
      </w:pPr>
      <w:r>
        <w:t>D</w:t>
      </w:r>
      <w:r>
        <w:t xml:space="preserve">ependent variable: </w:t>
      </w:r>
      <w:r w:rsidR="009A394D" w:rsidRPr="009A394D">
        <w:t>Real Residential Property prices Index for Canada</w:t>
      </w:r>
    </w:p>
    <w:p w:rsidR="009A394D" w:rsidRDefault="009A394D" w:rsidP="009A394D">
      <w:pPr>
        <w:pStyle w:val="ListParagraph"/>
        <w:ind w:left="1440"/>
      </w:pPr>
    </w:p>
    <w:p w:rsidR="009A394D" w:rsidRDefault="009A394D" w:rsidP="009A394D">
      <w:pPr>
        <w:pStyle w:val="ListParagraph"/>
        <w:numPr>
          <w:ilvl w:val="0"/>
          <w:numId w:val="8"/>
        </w:numPr>
      </w:pPr>
      <w:r>
        <w:t xml:space="preserve">Standard deviation: </w:t>
      </w:r>
      <m:oMath>
        <m:r>
          <w:rPr>
            <w:rFonts w:ascii="Cambria Math" w:hAnsi="Cambria Math"/>
          </w:rPr>
          <m:t>σ</m:t>
        </m:r>
        <m:r>
          <w:rPr>
            <w:rFonts w:ascii="Cambria Math" w:hAnsi="Cambria Math"/>
          </w:rPr>
          <m:t>=24.19</m:t>
        </m:r>
      </m:oMath>
    </w:p>
    <w:p w:rsidR="009A394D" w:rsidRDefault="009A394D" w:rsidP="009A394D">
      <w:pPr>
        <w:pStyle w:val="ListParagraph"/>
        <w:numPr>
          <w:ilvl w:val="0"/>
          <w:numId w:val="8"/>
        </w:numPr>
      </w:pPr>
      <w:r>
        <w:t xml:space="preserve">Variance: </w:t>
      </w:r>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=585.36</m:t>
        </m:r>
      </m:oMath>
    </w:p>
    <w:p w:rsidR="009A394D" w:rsidRDefault="009A394D" w:rsidP="009A394D">
      <w:pPr>
        <w:pStyle w:val="ListParagraph"/>
        <w:numPr>
          <w:ilvl w:val="0"/>
          <w:numId w:val="8"/>
        </w:numPr>
      </w:pPr>
      <w:r>
        <w:t xml:space="preserve">Interquartile range: </w:t>
      </w:r>
      <m:oMath>
        <m:r>
          <w:rPr>
            <w:rFonts w:ascii="Cambria Math" w:hAnsi="Cambria Math"/>
          </w:rPr>
          <m:t>IQR=34.1135</m:t>
        </m:r>
      </m:oMath>
    </w:p>
    <w:p w:rsidR="001C6E84" w:rsidRPr="001C6E84" w:rsidRDefault="009A394D" w:rsidP="001C6E84">
      <w:pPr>
        <w:pStyle w:val="ListParagraph"/>
        <w:numPr>
          <w:ilvl w:val="0"/>
          <w:numId w:val="8"/>
        </w:numPr>
      </w:pPr>
      <w:r>
        <w:t>z-score in the year of 2019:</w:t>
      </w:r>
      <w:r w:rsidR="00A60A5B">
        <w:t xml:space="preserve"> </w:t>
      </w:r>
      <w:r>
        <w:t xml:space="preserve"> </w:t>
      </w:r>
      <m:oMath>
        <m:r>
          <w:rPr>
            <w:rFonts w:ascii="Cambria Math" w:hAnsi="Cambria Math"/>
          </w:rPr>
          <m:t>z</m:t>
        </m:r>
        <m:r>
          <w:rPr>
            <w:rFonts w:ascii="Cambria Math" w:hAnsi="Cambria Math"/>
          </w:rPr>
          <m:t>=1.72</m:t>
        </m:r>
      </m:oMath>
    </w:p>
    <w:p w:rsidR="001C6E84" w:rsidRDefault="001C6E84" w:rsidP="001C6E84"/>
    <w:p w:rsidR="00C142A2" w:rsidRDefault="00C142A2" w:rsidP="001C6E84"/>
    <w:p w:rsidR="00C142A2" w:rsidRDefault="00C142A2" w:rsidP="001C6E84"/>
    <w:p w:rsidR="00C142A2" w:rsidRDefault="00C142A2" w:rsidP="001C6E84"/>
    <w:p w:rsidR="00C142A2" w:rsidRDefault="00C142A2" w:rsidP="001C6E84"/>
    <w:p w:rsidR="001C6E84" w:rsidRDefault="00525EFD" w:rsidP="001C6E84">
      <w:pPr>
        <w:pStyle w:val="ListParagraph"/>
        <w:numPr>
          <w:ilvl w:val="0"/>
          <w:numId w:val="1"/>
        </w:numPr>
      </w:pPr>
      <w:r>
        <w:lastRenderedPageBreak/>
        <w:t>Linear regression and c</w:t>
      </w:r>
      <w:r w:rsidR="001C6E84">
        <w:t>orrelation</w:t>
      </w:r>
      <w:r>
        <w:t>:</w:t>
      </w:r>
    </w:p>
    <w:p w:rsidR="001C6E84" w:rsidRDefault="001C6E84" w:rsidP="001C6E84">
      <w:pPr>
        <w:pStyle w:val="ListParagraph"/>
      </w:pPr>
    </w:p>
    <w:p w:rsidR="00525EFD" w:rsidRDefault="001C6E84" w:rsidP="001C6E84">
      <w:pPr>
        <w:pStyle w:val="ListParagraph"/>
      </w:pPr>
      <w:r>
        <w:t xml:space="preserve">Scatter Plot: </w:t>
      </w:r>
    </w:p>
    <w:p w:rsidR="00525EFD" w:rsidRDefault="00525EFD" w:rsidP="001C6E84">
      <w:pPr>
        <w:pStyle w:val="ListParagraph"/>
      </w:pPr>
    </w:p>
    <w:p w:rsidR="001C6E84" w:rsidRDefault="001C6E84" w:rsidP="001C6E84">
      <w:pPr>
        <w:pStyle w:val="ListParagraph"/>
      </w:pPr>
      <w:r>
        <w:rPr>
          <w:noProof/>
        </w:rPr>
        <w:drawing>
          <wp:inline distT="0" distB="0" distL="0" distR="0" wp14:anchorId="3C54AD39" wp14:editId="10A6E705">
            <wp:extent cx="5457825" cy="3272192"/>
            <wp:effectExtent l="0" t="0" r="15875" b="17145"/>
            <wp:docPr id="1" name="Chart 1">
              <a:extLst xmlns:a="http://schemas.openxmlformats.org/drawingml/2006/main">
                <a:ext uri="{FF2B5EF4-FFF2-40B4-BE49-F238E27FC236}">
                  <a16:creationId xmlns:a16="http://schemas.microsoft.com/office/drawing/2014/main" id="{42E061E3-6C26-D042-8655-7A5306B544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0E8E" w:rsidRDefault="008E0E8E" w:rsidP="008E0E8E">
      <w:pPr>
        <w:pStyle w:val="ListParagraph"/>
      </w:pPr>
      <w:r>
        <w:t xml:space="preserve">Figure 1: </w:t>
      </w:r>
      <w:r>
        <w:t>The relationship between Total income of families with children in Canada and r</w:t>
      </w:r>
      <w:r w:rsidRPr="009A394D">
        <w:t xml:space="preserve">eal </w:t>
      </w:r>
      <w:r>
        <w:t>r</w:t>
      </w:r>
      <w:r w:rsidRPr="009A394D">
        <w:t xml:space="preserve">esidential </w:t>
      </w:r>
      <w:r>
        <w:t>p</w:t>
      </w:r>
      <w:r w:rsidRPr="009A394D">
        <w:t xml:space="preserve">roperty prices </w:t>
      </w:r>
      <w:r>
        <w:t>i</w:t>
      </w:r>
      <w:r w:rsidRPr="009A394D">
        <w:t>ndex for Canada</w:t>
      </w:r>
      <w:r w:rsidRPr="001C6E84">
        <w:t xml:space="preserve"> </w:t>
      </w:r>
      <w:r>
        <w:t>from 2000 to 2019</w:t>
      </w:r>
    </w:p>
    <w:p w:rsidR="002F3F01" w:rsidRDefault="002F3F01" w:rsidP="001C6E84">
      <w:pPr>
        <w:pStyle w:val="ListParagraph"/>
      </w:pPr>
    </w:p>
    <w:p w:rsidR="008E0E8E" w:rsidRDefault="008E0E8E" w:rsidP="001C6E84">
      <w:pPr>
        <w:pStyle w:val="ListParagraph"/>
      </w:pPr>
    </w:p>
    <w:p w:rsidR="002F3F01" w:rsidRDefault="002F3F01" w:rsidP="001C6E84">
      <w:pPr>
        <w:pStyle w:val="ListParagraph"/>
      </w:pPr>
      <w:r>
        <w:t xml:space="preserve">Linear regression: </w:t>
      </w:r>
      <m:oMath>
        <m:r>
          <w:rPr>
            <w:rFonts w:ascii="Cambria Math" w:hAnsi="Cambria Math"/>
          </w:rPr>
          <m:t>y=0.0017x-31.4</m:t>
        </m:r>
      </m:oMath>
      <w:r>
        <w:t xml:space="preserve"> and correlation coefficient, </w:t>
      </w:r>
      <m:oMath>
        <m:r>
          <w:rPr>
            <w:rFonts w:ascii="Cambria Math" w:hAnsi="Cambria Math"/>
          </w:rPr>
          <m:t>r=0.98615</m:t>
        </m:r>
      </m:oMath>
    </w:p>
    <w:p w:rsidR="002F3F01" w:rsidRDefault="002F3F01" w:rsidP="001C6E84">
      <w:pPr>
        <w:pStyle w:val="ListParagraph"/>
      </w:pPr>
    </w:p>
    <w:p w:rsidR="007B291B" w:rsidRDefault="002F3F01" w:rsidP="007B291B">
      <w:pPr>
        <w:pStyle w:val="ListParagraph"/>
      </w:pPr>
      <w:r>
        <w:t xml:space="preserve">The following table shows the steps on how to get the linear regression and correlation coefficient. </w:t>
      </w:r>
    </w:p>
    <w:p w:rsidR="00DF7DBA" w:rsidRDefault="00DF7DBA" w:rsidP="007B291B">
      <w:pPr>
        <w:pStyle w:val="ListParagraph"/>
      </w:pPr>
    </w:p>
    <w:tbl>
      <w:tblPr>
        <w:tblW w:w="8606" w:type="dxa"/>
        <w:tblInd w:w="704" w:type="dxa"/>
        <w:tblLook w:val="04A0" w:firstRow="1" w:lastRow="0" w:firstColumn="1" w:lastColumn="0" w:noHBand="0" w:noVBand="1"/>
      </w:tblPr>
      <w:tblGrid>
        <w:gridCol w:w="836"/>
        <w:gridCol w:w="1343"/>
        <w:gridCol w:w="2004"/>
        <w:gridCol w:w="1952"/>
        <w:gridCol w:w="1230"/>
        <w:gridCol w:w="1281"/>
      </w:tblGrid>
      <w:tr w:rsidR="00030CFA" w:rsidTr="00030CFA">
        <w:trPr>
          <w:trHeight w:val="22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Year</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Income of Families with Children (x)</w:t>
            </w:r>
          </w:p>
        </w:tc>
        <w:tc>
          <w:tcPr>
            <w:tcW w:w="2004" w:type="dxa"/>
            <w:tcBorders>
              <w:top w:val="single" w:sz="4" w:space="0" w:color="auto"/>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Real Residential Property prices Index for Canada (y)</w:t>
            </w: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proofErr w:type="spellStart"/>
            <w:r w:rsidRPr="00AC6383">
              <w:rPr>
                <w:rFonts w:ascii="Calibri" w:hAnsi="Calibri"/>
                <w:color w:val="000000"/>
                <w:sz w:val="20"/>
                <w:szCs w:val="20"/>
              </w:rPr>
              <w:t>xy</w:t>
            </w:r>
            <w:proofErr w:type="spellEnd"/>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x^2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y^2</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2000</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53700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58.2334</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3127133.5800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2883690000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3391.1289</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2001</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56700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58.0960</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3294043.2000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3214890000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3375.1452</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2002</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58600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63.2774</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3708055.6400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3433960000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4004.0294</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2003</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59300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65.7826</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3900908.1800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3516490000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4327.3505</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2004</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61600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71.9819</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4434085.0400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3794560000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5181.3939</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2005</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64900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77.4652</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5027491.4800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4212010000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6000.8572</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2006</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68400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80.5446</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5509250.6400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4678560000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6487.4326</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2007</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71920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92.9796</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6687092.8320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5172486400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8645.2060</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2008</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74690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99.5048</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7432013.5120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5578596100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9901.2052</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2009</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74190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92.7926</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6884282.9940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5504156100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8610.4666</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2010</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75980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100.2634</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7618013.1320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5772960400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10052.7494</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2011</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78890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99.5791</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7855795.1990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6223632100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9915.9972</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2012</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81670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101.8205</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8315680.2350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6669988900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10367.4142</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lastRenderedPageBreak/>
              <w:t>2013</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84270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103.6024</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8730574.2480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7101432900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10733.4573</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2014</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87200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106.8698</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9319046.5600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7603840000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11421.1542</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2015</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89860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110.8042</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9956865.4120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8074819600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12277.5707</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2016</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91650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117.2243</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10743607.0950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8399722500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13741.5365</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2017</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95250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131.5822</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12533204.5500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9072562500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17313.8754</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2018</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99340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138.5269</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13761262.2460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9868435600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19189.7020</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2019</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102550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137.1277</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14062445.6350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1.0517E+10</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18804.0061</w:t>
            </w:r>
          </w:p>
        </w:tc>
      </w:tr>
      <w:tr w:rsidR="00030CFA" w:rsidTr="00030CFA">
        <w:trPr>
          <w:trHeight w:val="226"/>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Sum</w:t>
            </w:r>
          </w:p>
        </w:tc>
        <w:tc>
          <w:tcPr>
            <w:tcW w:w="1343"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1530660</w:t>
            </w:r>
          </w:p>
        </w:tc>
        <w:tc>
          <w:tcPr>
            <w:tcW w:w="2004"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1908.0586</w:t>
            </w:r>
          </w:p>
        </w:tc>
        <w:tc>
          <w:tcPr>
            <w:tcW w:w="1952"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152900851.4100</w:t>
            </w:r>
          </w:p>
        </w:tc>
        <w:tc>
          <w:tcPr>
            <w:tcW w:w="121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1.2129E+11</w:t>
            </w:r>
          </w:p>
        </w:tc>
        <w:tc>
          <w:tcPr>
            <w:tcW w:w="1260" w:type="dxa"/>
            <w:tcBorders>
              <w:top w:val="nil"/>
              <w:left w:val="nil"/>
              <w:bottom w:val="single" w:sz="4" w:space="0" w:color="auto"/>
              <w:right w:val="single" w:sz="4" w:space="0" w:color="auto"/>
            </w:tcBorders>
            <w:shd w:val="clear" w:color="auto" w:fill="auto"/>
            <w:noWrap/>
            <w:vAlign w:val="bottom"/>
            <w:hideMark/>
          </w:tcPr>
          <w:p w:rsidR="00AC6383" w:rsidRPr="00AC6383" w:rsidRDefault="00AC6383">
            <w:pPr>
              <w:jc w:val="center"/>
              <w:rPr>
                <w:rFonts w:ascii="Calibri" w:hAnsi="Calibri"/>
                <w:color w:val="000000"/>
                <w:sz w:val="20"/>
                <w:szCs w:val="20"/>
              </w:rPr>
            </w:pPr>
            <w:r w:rsidRPr="00AC6383">
              <w:rPr>
                <w:rFonts w:ascii="Calibri" w:hAnsi="Calibri"/>
                <w:color w:val="000000"/>
                <w:sz w:val="20"/>
                <w:szCs w:val="20"/>
              </w:rPr>
              <w:t>193741.6784</w:t>
            </w:r>
          </w:p>
        </w:tc>
      </w:tr>
    </w:tbl>
    <w:p w:rsidR="00AC6383" w:rsidRDefault="00AC6383" w:rsidP="007B291B">
      <w:pPr>
        <w:pStyle w:val="ListParagraph"/>
      </w:pPr>
    </w:p>
    <w:p w:rsidR="007B291B" w:rsidRDefault="007B291B" w:rsidP="007B291B">
      <w:pPr>
        <w:pStyle w:val="ListParagraph"/>
      </w:pPr>
    </w:p>
    <w:p w:rsidR="007B291B" w:rsidRDefault="007B291B" w:rsidP="007B291B">
      <w:pPr>
        <w:pStyle w:val="ListParagraph"/>
      </w:pPr>
      <m:oMath>
        <m:r>
          <w:rPr>
            <w:rFonts w:ascii="Cambria Math" w:hAnsi="Cambria Math"/>
          </w:rPr>
          <m:t>y=mx+b</m:t>
        </m:r>
      </m:oMath>
      <w:r>
        <w:t xml:space="preserve">, where </w:t>
      </w:r>
      <m:oMath>
        <m:r>
          <w:rPr>
            <w:rFonts w:ascii="Cambria Math" w:hAnsi="Cambria Math"/>
          </w:rPr>
          <m:t>m=</m:t>
        </m:r>
        <m:f>
          <m:fPr>
            <m:ctrlPr>
              <w:rPr>
                <w:rFonts w:ascii="Cambria Math" w:hAnsi="Cambria Math"/>
                <w:i/>
              </w:rPr>
            </m:ctrlPr>
          </m:fPr>
          <m:num>
            <m:r>
              <w:rPr>
                <w:rFonts w:ascii="Cambria Math" w:hAnsi="Cambria Math"/>
              </w:rPr>
              <m:t>n</m:t>
            </m:r>
            <m:nary>
              <m:naryPr>
                <m:chr m:val="∑"/>
                <m:limLoc m:val="undOvr"/>
                <m:subHide m:val="1"/>
                <m:supHide m:val="1"/>
                <m:ctrlPr>
                  <w:rPr>
                    <w:rFonts w:ascii="Cambria Math" w:hAnsi="Cambria Math"/>
                    <w:i/>
                  </w:rPr>
                </m:ctrlPr>
              </m:naryPr>
              <m:sub/>
              <m:sup/>
              <m:e>
                <m:r>
                  <w:rPr>
                    <w:rFonts w:ascii="Cambria Math" w:hAnsi="Cambria Math"/>
                  </w:rPr>
                  <m:t>xy</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x</m:t>
                </m:r>
              </m:e>
            </m:nary>
            <m:nary>
              <m:naryPr>
                <m:chr m:val="∑"/>
                <m:limLoc m:val="undOvr"/>
                <m:subHide m:val="1"/>
                <m:supHide m:val="1"/>
                <m:ctrlPr>
                  <w:rPr>
                    <w:rFonts w:ascii="Cambria Math" w:hAnsi="Cambria Math"/>
                    <w:i/>
                  </w:rPr>
                </m:ctrlPr>
              </m:naryPr>
              <m:sub/>
              <m:sup/>
              <m:e>
                <m:r>
                  <w:rPr>
                    <w:rFonts w:ascii="Cambria Math" w:hAnsi="Cambria Math"/>
                  </w:rPr>
                  <m:t>y</m:t>
                </m:r>
              </m:e>
            </m:nary>
          </m:num>
          <m:den>
            <m:r>
              <w:rPr>
                <w:rFonts w:ascii="Cambria Math" w:hAnsi="Cambria Math"/>
              </w:rPr>
              <m:t>n</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e>
                  <m:sup>
                    <m:r>
                      <w:rPr>
                        <w:rFonts w:ascii="Cambria Math" w:hAnsi="Cambria Math"/>
                      </w:rPr>
                      <m:t>2</m:t>
                    </m:r>
                  </m:sup>
                </m:sSup>
              </m:e>
            </m:nary>
          </m:den>
        </m:f>
      </m:oMath>
      <w:r>
        <w:t xml:space="preserve"> and </w:t>
      </w:r>
      <m:oMath>
        <m:r>
          <w:rPr>
            <w:rFonts w:ascii="Cambria Math" w:hAnsi="Cambria Math"/>
          </w:rPr>
          <m:t>b=</m:t>
        </m:r>
        <m:acc>
          <m:accPr>
            <m:chr m:val="̅"/>
            <m:ctrlPr>
              <w:rPr>
                <w:rFonts w:ascii="Cambria Math" w:hAnsi="Cambria Math"/>
                <w:i/>
              </w:rPr>
            </m:ctrlPr>
          </m:accPr>
          <m:e>
            <m:r>
              <w:rPr>
                <w:rFonts w:ascii="Cambria Math" w:hAnsi="Cambria Math"/>
              </w:rPr>
              <m:t>y</m:t>
            </m:r>
          </m:e>
        </m:acc>
        <m:r>
          <w:rPr>
            <w:rFonts w:ascii="Cambria Math" w:hAnsi="Cambria Math"/>
          </w:rPr>
          <m:t>-m</m:t>
        </m:r>
        <m:acc>
          <m:accPr>
            <m:chr m:val="̅"/>
            <m:ctrlPr>
              <w:rPr>
                <w:rFonts w:ascii="Cambria Math" w:hAnsi="Cambria Math"/>
                <w:i/>
              </w:rPr>
            </m:ctrlPr>
          </m:accPr>
          <m:e>
            <m:r>
              <w:rPr>
                <w:rFonts w:ascii="Cambria Math" w:hAnsi="Cambria Math"/>
              </w:rPr>
              <m:t>x</m:t>
            </m:r>
          </m:e>
        </m:acc>
      </m:oMath>
    </w:p>
    <w:p w:rsidR="007B291B" w:rsidRDefault="007B291B" w:rsidP="007B291B">
      <w:pPr>
        <w:pStyle w:val="ListParagraph"/>
      </w:pPr>
    </w:p>
    <w:p w:rsidR="007B291B" w:rsidRDefault="007B291B" w:rsidP="007B291B">
      <w:pPr>
        <w:pStyle w:val="ListParagraph"/>
      </w:pPr>
      <m:oMath>
        <m:r>
          <w:rPr>
            <w:rFonts w:ascii="Cambria Math" w:hAnsi="Cambria Math"/>
          </w:rPr>
          <m:t>m</m:t>
        </m:r>
        <m:r>
          <w:rPr>
            <w:rFonts w:ascii="Cambria Math" w:hAnsi="Cambria Math"/>
          </w:rPr>
          <m:t>=</m:t>
        </m:r>
        <m:f>
          <m:fPr>
            <m:ctrlPr>
              <w:rPr>
                <w:rFonts w:ascii="Cambria Math" w:hAnsi="Cambria Math"/>
                <w:i/>
              </w:rPr>
            </m:ctrlPr>
          </m:fPr>
          <m:num>
            <m:r>
              <w:rPr>
                <w:rFonts w:ascii="Cambria Math" w:hAnsi="Cambria Math"/>
              </w:rPr>
              <m:t>20*152900851</m:t>
            </m:r>
            <m:r>
              <w:rPr>
                <w:rFonts w:ascii="Cambria Math" w:hAnsi="Cambria Math"/>
              </w:rPr>
              <m:t>-</m:t>
            </m:r>
            <m:r>
              <w:rPr>
                <w:rFonts w:ascii="Cambria Math" w:hAnsi="Cambria Math"/>
              </w:rPr>
              <m:t>(1530660)(1908.0586)</m:t>
            </m:r>
          </m:num>
          <m:den>
            <m:r>
              <w:rPr>
                <w:rFonts w:ascii="Cambria Math" w:hAnsi="Cambria Math"/>
              </w:rPr>
              <m:t>20*1.2129*</m:t>
            </m:r>
            <m:sSup>
              <m:sSupPr>
                <m:ctrlPr>
                  <w:rPr>
                    <w:rFonts w:ascii="Cambria Math" w:hAnsi="Cambria Math"/>
                    <w:i/>
                  </w:rPr>
                </m:ctrlPr>
              </m:sSupPr>
              <m:e>
                <m:r>
                  <w:rPr>
                    <w:rFonts w:ascii="Cambria Math" w:hAnsi="Cambria Math"/>
                  </w:rPr>
                  <m:t>10</m:t>
                </m:r>
              </m:e>
              <m:sup>
                <m:r>
                  <w:rPr>
                    <w:rFonts w:ascii="Cambria Math" w:hAnsi="Cambria Math"/>
                  </w:rPr>
                  <m:t>11</m:t>
                </m:r>
              </m:sup>
            </m:sSup>
            <m:r>
              <w:rPr>
                <w:rFonts w:ascii="Cambria Math" w:hAnsi="Cambria Math"/>
              </w:rPr>
              <m:t>-(1530660</m:t>
            </m:r>
            <m:sSup>
              <m:sSupPr>
                <m:ctrlPr>
                  <w:rPr>
                    <w:rFonts w:ascii="Cambria Math" w:hAnsi="Cambria Math"/>
                    <w:i/>
                  </w:rPr>
                </m:ctrlPr>
              </m:sSupPr>
              <m:e>
                <m:r>
                  <w:rPr>
                    <w:rFonts w:ascii="Cambria Math" w:hAnsi="Cambria Math"/>
                  </w:rPr>
                  <m:t>)</m:t>
                </m:r>
              </m:e>
              <m:sup>
                <m:r>
                  <w:rPr>
                    <w:rFonts w:ascii="Cambria Math" w:hAnsi="Cambria Math"/>
                  </w:rPr>
                  <m:t>2</m:t>
                </m:r>
              </m:sup>
            </m:sSup>
          </m:den>
        </m:f>
        <m:r>
          <w:rPr>
            <w:rFonts w:ascii="Cambria Math" w:hAnsi="Cambria Math"/>
          </w:rPr>
          <m:t>=0.0017</m:t>
        </m:r>
      </m:oMath>
      <w:r>
        <w:t xml:space="preserve"> </w:t>
      </w:r>
    </w:p>
    <w:p w:rsidR="007B291B" w:rsidRDefault="007B291B" w:rsidP="007B291B">
      <w:pPr>
        <w:pStyle w:val="ListParagraph"/>
      </w:pPr>
    </w:p>
    <w:p w:rsidR="007B291B" w:rsidRDefault="007B291B" w:rsidP="007B291B">
      <w:pPr>
        <w:pStyle w:val="ListParagraph"/>
      </w:pPr>
      <m:oMath>
        <m:r>
          <w:rPr>
            <w:rFonts w:ascii="Cambria Math" w:hAnsi="Cambria Math"/>
          </w:rPr>
          <m:t>b=</m:t>
        </m:r>
        <m:r>
          <w:rPr>
            <w:rFonts w:ascii="Cambria Math" w:hAnsi="Cambria Math"/>
          </w:rPr>
          <m:t>95.4029</m:t>
        </m:r>
        <m:r>
          <w:rPr>
            <w:rFonts w:ascii="Cambria Math" w:hAnsi="Cambria Math"/>
          </w:rPr>
          <m:t>-</m:t>
        </m:r>
        <m:r>
          <w:rPr>
            <w:rFonts w:ascii="Cambria Math" w:hAnsi="Cambria Math"/>
          </w:rPr>
          <m:t>0.0017*76533=-31.4</m:t>
        </m:r>
      </m:oMath>
      <w:r>
        <w:t xml:space="preserve"> </w:t>
      </w:r>
    </w:p>
    <w:p w:rsidR="007B291B" w:rsidRDefault="007B291B" w:rsidP="007B291B">
      <w:pPr>
        <w:pStyle w:val="ListParagraph"/>
      </w:pPr>
    </w:p>
    <w:p w:rsidR="007B291B" w:rsidRPr="007B291B" w:rsidRDefault="007B291B" w:rsidP="007B291B">
      <w:pPr>
        <w:pStyle w:val="ListParagraph"/>
      </w:pPr>
      <m:oMath>
        <m:r>
          <w:rPr>
            <w:rFonts w:ascii="Cambria Math" w:hAnsi="Cambria Math"/>
          </w:rPr>
          <m:t>r=</m:t>
        </m:r>
        <m:f>
          <m:fPr>
            <m:ctrlPr>
              <w:rPr>
                <w:rFonts w:ascii="Cambria Math" w:hAnsi="Cambria Math"/>
                <w:i/>
              </w:rPr>
            </m:ctrlPr>
          </m:fPr>
          <m:num>
            <m:r>
              <w:rPr>
                <w:rFonts w:ascii="Cambria Math" w:hAnsi="Cambria Math"/>
              </w:rPr>
              <m:t>n</m:t>
            </m:r>
            <m:nary>
              <m:naryPr>
                <m:chr m:val="∑"/>
                <m:limLoc m:val="undOvr"/>
                <m:subHide m:val="1"/>
                <m:supHide m:val="1"/>
                <m:ctrlPr>
                  <w:rPr>
                    <w:rFonts w:ascii="Cambria Math" w:hAnsi="Cambria Math"/>
                    <w:i/>
                  </w:rPr>
                </m:ctrlPr>
              </m:naryPr>
              <m:sub/>
              <m:sup/>
              <m:e>
                <m:r>
                  <w:rPr>
                    <w:rFonts w:ascii="Cambria Math" w:hAnsi="Cambria Math"/>
                  </w:rPr>
                  <m:t>xy</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x</m:t>
                </m:r>
              </m:e>
            </m:nary>
            <m:nary>
              <m:naryPr>
                <m:chr m:val="∑"/>
                <m:limLoc m:val="undOvr"/>
                <m:subHide m:val="1"/>
                <m:supHide m:val="1"/>
                <m:ctrlPr>
                  <w:rPr>
                    <w:rFonts w:ascii="Cambria Math" w:hAnsi="Cambria Math"/>
                    <w:i/>
                  </w:rPr>
                </m:ctrlPr>
              </m:naryPr>
              <m:sub/>
              <m:sup/>
              <m:e>
                <m:r>
                  <w:rPr>
                    <w:rFonts w:ascii="Cambria Math" w:hAnsi="Cambria Math"/>
                  </w:rPr>
                  <m:t>y</m:t>
                </m:r>
              </m:e>
            </m:nary>
          </m:num>
          <m:den>
            <m:rad>
              <m:radPr>
                <m:degHide m:val="1"/>
                <m:ctrlPr>
                  <w:rPr>
                    <w:rFonts w:ascii="Cambria Math" w:hAnsi="Cambria Math"/>
                    <w:i/>
                  </w:rPr>
                </m:ctrlPr>
              </m:radPr>
              <m:deg/>
              <m:e>
                <m:r>
                  <w:rPr>
                    <w:rFonts w:ascii="Cambria Math" w:hAnsi="Cambria Math"/>
                  </w:rPr>
                  <m:t>(n</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e>
                </m:nary>
                <m:sSup>
                  <m:sSupPr>
                    <m:ctrlPr>
                      <w:rPr>
                        <w:rFonts w:ascii="Cambria Math" w:hAnsi="Cambria Math"/>
                        <w:i/>
                      </w:rPr>
                    </m:ctrlPr>
                  </m:sSupPr>
                  <m:e>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e>
                  <m:sup>
                    <m:r>
                      <w:rPr>
                        <w:rFonts w:ascii="Cambria Math" w:hAnsi="Cambria Math"/>
                      </w:rPr>
                      <m:t>2</m:t>
                    </m:r>
                  </m:sup>
                </m:sSup>
                <m:r>
                  <w:rPr>
                    <w:rFonts w:ascii="Cambria Math" w:hAnsi="Cambria Math"/>
                  </w:rPr>
                  <m:t>)(</m:t>
                </m:r>
                <m:r>
                  <w:rPr>
                    <w:rFonts w:ascii="Cambria Math" w:hAnsi="Cambria Math"/>
                  </w:rPr>
                  <m:t>n</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e>
                </m:nary>
                <m:sSup>
                  <m:sSupPr>
                    <m:ctrlPr>
                      <w:rPr>
                        <w:rFonts w:ascii="Cambria Math" w:hAnsi="Cambria Math"/>
                        <w:i/>
                      </w:rPr>
                    </m:ctrlPr>
                  </m:sSupPr>
                  <m:e>
                    <m:nary>
                      <m:naryPr>
                        <m:chr m:val="∑"/>
                        <m:limLoc m:val="undOvr"/>
                        <m:subHide m:val="1"/>
                        <m:supHide m:val="1"/>
                        <m:ctrlPr>
                          <w:rPr>
                            <w:rFonts w:ascii="Cambria Math" w:hAnsi="Cambria Math"/>
                            <w:i/>
                          </w:rPr>
                        </m:ctrlPr>
                      </m:naryPr>
                      <m:sub/>
                      <m:sup/>
                      <m:e>
                        <m:r>
                          <w:rPr>
                            <w:rFonts w:ascii="Cambria Math" w:hAnsi="Cambria Math"/>
                          </w:rPr>
                          <m:t>y</m:t>
                        </m:r>
                      </m:e>
                    </m:nary>
                    <m:r>
                      <w:rPr>
                        <w:rFonts w:ascii="Cambria Math" w:hAnsi="Cambria Math"/>
                      </w:rPr>
                      <m:t>)</m:t>
                    </m:r>
                  </m:e>
                  <m:sup>
                    <m:r>
                      <w:rPr>
                        <w:rFonts w:ascii="Cambria Math" w:hAnsi="Cambria Math"/>
                      </w:rPr>
                      <m:t>2</m:t>
                    </m:r>
                  </m:sup>
                </m:sSup>
                <m:r>
                  <w:rPr>
                    <w:rFonts w:ascii="Cambria Math" w:hAnsi="Cambria Math"/>
                  </w:rPr>
                  <m:t>)</m:t>
                </m:r>
              </m:e>
            </m:rad>
          </m:den>
        </m:f>
      </m:oMath>
      <w:r>
        <w:t xml:space="preserve"> </w:t>
      </w:r>
    </w:p>
    <w:p w:rsidR="007B291B" w:rsidRPr="007B291B" w:rsidRDefault="007B291B" w:rsidP="007B291B">
      <w:pPr>
        <w:pStyle w:val="ListParagraph"/>
      </w:pPr>
    </w:p>
    <w:p w:rsidR="007B291B" w:rsidRDefault="006B57CE" w:rsidP="007B291B">
      <w:pPr>
        <w:pStyle w:val="ListParagraph"/>
      </w:pPr>
      <m:oMath>
        <m:r>
          <w:rPr>
            <w:rFonts w:ascii="Cambria Math" w:hAnsi="Cambria Math"/>
          </w:rPr>
          <m:t xml:space="preserve"> </m:t>
        </m:r>
        <m:r>
          <w:rPr>
            <w:rFonts w:ascii="Cambria Math" w:hAnsi="Cambria Math"/>
          </w:rPr>
          <m:t xml:space="preserve">   =</m:t>
        </m:r>
        <m:f>
          <m:fPr>
            <m:ctrlPr>
              <w:rPr>
                <w:rFonts w:ascii="Cambria Math" w:hAnsi="Cambria Math"/>
                <w:i/>
              </w:rPr>
            </m:ctrlPr>
          </m:fPr>
          <m:num>
            <m:r>
              <w:rPr>
                <w:rFonts w:ascii="Cambria Math" w:hAnsi="Cambria Math"/>
              </w:rPr>
              <m:t>20*152900851.41</m:t>
            </m:r>
            <m:r>
              <w:rPr>
                <w:rFonts w:ascii="Cambria Math" w:hAnsi="Cambria Math"/>
              </w:rPr>
              <m:t>-(1530660)(1908.0586)</m:t>
            </m:r>
          </m:num>
          <m:den>
            <m:rad>
              <m:radPr>
                <m:degHide m:val="1"/>
                <m:ctrlPr>
                  <w:rPr>
                    <w:rFonts w:ascii="Cambria Math" w:hAnsi="Cambria Math"/>
                    <w:i/>
                  </w:rPr>
                </m:ctrlPr>
              </m:radPr>
              <m:deg/>
              <m:e>
                <m:r>
                  <w:rPr>
                    <w:rFonts w:ascii="Cambria Math" w:hAnsi="Cambria Math"/>
                  </w:rPr>
                  <m:t>(</m:t>
                </m:r>
                <m:r>
                  <w:rPr>
                    <w:rFonts w:ascii="Cambria Math" w:hAnsi="Cambria Math"/>
                  </w:rPr>
                  <m:t>20*</m:t>
                </m:r>
                <m:r>
                  <w:rPr>
                    <w:rFonts w:ascii="Cambria Math" w:hAnsi="Cambria Math"/>
                  </w:rPr>
                  <m:t>1.2129*</m:t>
                </m:r>
                <m:sSup>
                  <m:sSupPr>
                    <m:ctrlPr>
                      <w:rPr>
                        <w:rFonts w:ascii="Cambria Math" w:hAnsi="Cambria Math"/>
                        <w:i/>
                      </w:rPr>
                    </m:ctrlPr>
                  </m:sSupPr>
                  <m:e>
                    <m:r>
                      <w:rPr>
                        <w:rFonts w:ascii="Cambria Math" w:hAnsi="Cambria Math"/>
                      </w:rPr>
                      <m:t>10</m:t>
                    </m:r>
                  </m:e>
                  <m:sup>
                    <m:r>
                      <w:rPr>
                        <w:rFonts w:ascii="Cambria Math" w:hAnsi="Cambria Math"/>
                      </w:rPr>
                      <m:t>11</m:t>
                    </m:r>
                  </m:sup>
                </m:sSup>
                <m:r>
                  <w:rPr>
                    <w:rFonts w:ascii="Cambria Math" w:hAnsi="Cambria Math"/>
                  </w:rPr>
                  <m:t>-(1530660</m:t>
                </m:r>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m:t>
                </m:r>
                <m:r>
                  <w:rPr>
                    <w:rFonts w:ascii="Cambria Math" w:hAnsi="Cambria Math"/>
                  </w:rPr>
                  <m:t>20*193741.6784-</m:t>
                </m:r>
                <m:sSup>
                  <m:sSupPr>
                    <m:ctrlPr>
                      <w:rPr>
                        <w:rFonts w:ascii="Cambria Math" w:hAnsi="Cambria Math"/>
                        <w:i/>
                      </w:rPr>
                    </m:ctrlPr>
                  </m:sSupPr>
                  <m:e>
                    <m:r>
                      <w:rPr>
                        <w:rFonts w:ascii="Cambria Math" w:hAnsi="Cambria Math"/>
                      </w:rPr>
                      <m:t>(1908.0586</m:t>
                    </m:r>
                    <m:r>
                      <w:rPr>
                        <w:rFonts w:ascii="Cambria Math" w:hAnsi="Cambria Math"/>
                      </w:rPr>
                      <m:t>)</m:t>
                    </m:r>
                  </m:e>
                  <m:sup>
                    <m:r>
                      <w:rPr>
                        <w:rFonts w:ascii="Cambria Math" w:hAnsi="Cambria Math"/>
                      </w:rPr>
                      <m:t>2</m:t>
                    </m:r>
                  </m:sup>
                </m:sSup>
                <m:r>
                  <w:rPr>
                    <w:rFonts w:ascii="Cambria Math" w:hAnsi="Cambria Math"/>
                  </w:rPr>
                  <m:t>)</m:t>
                </m:r>
              </m:e>
            </m:rad>
          </m:den>
        </m:f>
      </m:oMath>
      <w:r w:rsidR="007B291B">
        <w:t xml:space="preserve"> </w:t>
      </w:r>
    </w:p>
    <w:p w:rsidR="007B291B" w:rsidRDefault="007B291B" w:rsidP="007B291B">
      <w:pPr>
        <w:pStyle w:val="ListParagraph"/>
      </w:pPr>
    </w:p>
    <w:p w:rsidR="007B291B" w:rsidRDefault="007B291B" w:rsidP="007B291B">
      <w:pPr>
        <w:pStyle w:val="ListParagraph"/>
      </w:pPr>
      <m:oMath>
        <m:r>
          <w:rPr>
            <w:rFonts w:ascii="Cambria Math" w:hAnsi="Cambria Math"/>
          </w:rPr>
          <m:t>r=0.98615</m:t>
        </m:r>
      </m:oMath>
      <w:r>
        <w:t xml:space="preserve"> </w:t>
      </w:r>
    </w:p>
    <w:p w:rsidR="00DF7DBA" w:rsidRDefault="00DF7DBA" w:rsidP="00DF7DBA"/>
    <w:p w:rsidR="008E0E8E" w:rsidRDefault="008E0E8E" w:rsidP="00DF7DBA"/>
    <w:p w:rsidR="008E0E8E" w:rsidRDefault="008E0E8E" w:rsidP="00DF7DBA"/>
    <w:p w:rsidR="00C142A2" w:rsidRDefault="00C142A2" w:rsidP="00DF7DBA"/>
    <w:p w:rsidR="008E0E8E" w:rsidRPr="006B57CE" w:rsidRDefault="008E0E8E" w:rsidP="00DF7DBA">
      <w:pPr>
        <w:rPr>
          <w:b/>
        </w:rPr>
      </w:pPr>
      <w:r w:rsidRPr="006B57CE">
        <w:rPr>
          <w:b/>
        </w:rPr>
        <w:t xml:space="preserve">Part 2: </w:t>
      </w:r>
      <w:r w:rsidR="008A4B5B" w:rsidRPr="006B57CE">
        <w:rPr>
          <w:b/>
        </w:rPr>
        <w:t>Graphs (Histogram and line graph)</w:t>
      </w:r>
    </w:p>
    <w:p w:rsidR="008E0E8E" w:rsidRDefault="008E0E8E" w:rsidP="00DF7DBA"/>
    <w:p w:rsidR="008E0E8E" w:rsidRDefault="008E0E8E" w:rsidP="00DF7DBA">
      <w:r>
        <w:rPr>
          <w:noProof/>
        </w:rPr>
        <w:drawing>
          <wp:inline distT="0" distB="0" distL="0" distR="0" wp14:anchorId="1745DACC" wp14:editId="65E05045">
            <wp:extent cx="5905500" cy="2462400"/>
            <wp:effectExtent l="0" t="0" r="12700" b="14605"/>
            <wp:docPr id="3" name="Chart 3">
              <a:extLst xmlns:a="http://schemas.openxmlformats.org/drawingml/2006/main">
                <a:ext uri="{FF2B5EF4-FFF2-40B4-BE49-F238E27FC236}">
                  <a16:creationId xmlns:a16="http://schemas.microsoft.com/office/drawing/2014/main" id="{84BDD621-F62B-4C43-935E-55F13944F0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0E8E" w:rsidRDefault="008E0E8E" w:rsidP="00DF7DBA">
      <w:r>
        <w:t xml:space="preserve">Figure </w:t>
      </w:r>
      <w:r w:rsidR="00523982">
        <w:t xml:space="preserve">2: </w:t>
      </w:r>
      <w:r w:rsidR="008A4B5B">
        <w:t xml:space="preserve">Canada – total income of families with children 2000 – 2019 </w:t>
      </w:r>
    </w:p>
    <w:p w:rsidR="008E0E8E" w:rsidRDefault="008E0E8E" w:rsidP="00DF7DBA"/>
    <w:p w:rsidR="008E0E8E" w:rsidRDefault="008E0E8E" w:rsidP="00DF7DBA"/>
    <w:p w:rsidR="008A4B5B" w:rsidRDefault="008A4B5B" w:rsidP="00DF7DBA">
      <w:r>
        <w:rPr>
          <w:noProof/>
        </w:rPr>
        <w:lastRenderedPageBreak/>
        <w:drawing>
          <wp:inline distT="0" distB="0" distL="0" distR="0" wp14:anchorId="64A71D54" wp14:editId="44F005B9">
            <wp:extent cx="5905500" cy="2677795"/>
            <wp:effectExtent l="0" t="0" r="12700" b="14605"/>
            <wp:docPr id="4" name="Chart 4">
              <a:extLst xmlns:a="http://schemas.openxmlformats.org/drawingml/2006/main">
                <a:ext uri="{FF2B5EF4-FFF2-40B4-BE49-F238E27FC236}">
                  <a16:creationId xmlns:a16="http://schemas.microsoft.com/office/drawing/2014/main" id="{3EA2FC80-1974-BD4A-8E07-0BA18515F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A4B5B" w:rsidRDefault="008A4B5B" w:rsidP="00DF7DBA">
      <w:r>
        <w:t>Figure 3: Canada – Real residential property prices index 2000 – 2019 (Index 2010 = 100)</w:t>
      </w:r>
    </w:p>
    <w:p w:rsidR="008A4B5B" w:rsidRDefault="008A4B5B" w:rsidP="00DF7DBA"/>
    <w:p w:rsidR="008A4B5B" w:rsidRDefault="008A4B5B" w:rsidP="00DF7DBA"/>
    <w:p w:rsidR="00DF7DBA" w:rsidRPr="006B57CE" w:rsidRDefault="00DF7DBA" w:rsidP="00DF7DBA">
      <w:pPr>
        <w:rPr>
          <w:b/>
        </w:rPr>
      </w:pPr>
      <w:r w:rsidRPr="006B57CE">
        <w:rPr>
          <w:b/>
        </w:rPr>
        <w:t xml:space="preserve">Part </w:t>
      </w:r>
      <w:r w:rsidR="008E0E8E" w:rsidRPr="006B57CE">
        <w:rPr>
          <w:b/>
        </w:rPr>
        <w:t>3</w:t>
      </w:r>
      <w:r w:rsidRPr="006B57CE">
        <w:rPr>
          <w:b/>
        </w:rPr>
        <w:t xml:space="preserve">: </w:t>
      </w:r>
      <w:r w:rsidR="006B57CE">
        <w:rPr>
          <w:b/>
        </w:rPr>
        <w:t xml:space="preserve">Evaluation </w:t>
      </w:r>
    </w:p>
    <w:p w:rsidR="00DF7DBA" w:rsidRDefault="00DF7DBA" w:rsidP="00DF7DBA"/>
    <w:p w:rsidR="00DF7DBA" w:rsidRDefault="008E0E8E" w:rsidP="00A36321">
      <w:pPr>
        <w:spacing w:line="360" w:lineRule="auto"/>
      </w:pPr>
      <w:r>
        <w:t xml:space="preserve">Total income of families with children in Canada is independent variable, and real residential property price index for Canada is dependent variable. Both independent variable and dependent variable are continuous because they can be any values, either integers or decimals. </w:t>
      </w:r>
      <w:r w:rsidR="00A36321">
        <w:t xml:space="preserve">In the past 20 years from 2000 to 2019, both total income of families with children and house price has been increasing constantly (Figure 2, Figure 3). Year to year increase </w:t>
      </w:r>
      <w:r w:rsidR="00706F2F">
        <w:t>is</w:t>
      </w:r>
      <w:r w:rsidR="00A36321">
        <w:t xml:space="preserve"> 3-5% except the year of 2008 because of the great rescission negatively impacted on the housing market and employment market</w:t>
      </w:r>
      <w:r w:rsidR="00706F2F">
        <w:t xml:space="preserve"> during that time. </w:t>
      </w:r>
    </w:p>
    <w:p w:rsidR="006023DF" w:rsidRDefault="006023DF" w:rsidP="00A36321">
      <w:pPr>
        <w:spacing w:line="360" w:lineRule="auto"/>
      </w:pPr>
    </w:p>
    <w:p w:rsidR="00A36321" w:rsidRDefault="00A36321" w:rsidP="00A36321">
      <w:pPr>
        <w:spacing w:line="360" w:lineRule="auto"/>
      </w:pPr>
      <w:r>
        <w:t>The average and median of total income is $76,533 and $75,335 respectively. The two values are similar because th</w:t>
      </w:r>
      <w:r w:rsidR="00706F2F">
        <w:t xml:space="preserve">e </w:t>
      </w:r>
      <w:r w:rsidR="00706F2F">
        <w:t>independent variable</w:t>
      </w:r>
      <w:r w:rsidR="00706F2F">
        <w:t xml:space="preserve"> doesn’t show any</w:t>
      </w:r>
      <w:r>
        <w:t xml:space="preserve"> outliers. To perform the outlier check, the interval of (</w:t>
      </w: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+1.5IQR,</m:t>
        </m:r>
        <m:sSub>
          <m:sSubPr>
            <m:ctrlPr>
              <w:rPr>
                <w:rFonts w:ascii="Cambria Math" w:hAnsi="Cambria Math"/>
                <w:i/>
              </w:rPr>
            </m:ctrlPr>
          </m:sSubPr>
          <m:e>
            <m:r>
              <w:rPr>
                <w:rFonts w:ascii="Cambria Math" w:hAnsi="Cambria Math"/>
              </w:rPr>
              <m:t>Q</m:t>
            </m:r>
          </m:e>
          <m:sub>
            <m:r>
              <w:rPr>
                <w:rFonts w:ascii="Cambria Math" w:hAnsi="Cambria Math"/>
              </w:rPr>
              <m:t>3</m:t>
            </m:r>
          </m:sub>
        </m:sSub>
        <m:r>
          <w:rPr>
            <w:rFonts w:ascii="Cambria Math" w:hAnsi="Cambria Math"/>
          </w:rPr>
          <m:t>+1.5IQR)</m:t>
        </m:r>
      </m:oMath>
      <w:r>
        <w:t xml:space="preserve"> needs to be calculated, which turns out (</w:t>
      </w:r>
      <w:r w:rsidR="00706F2F">
        <w:t>$</w:t>
      </w:r>
      <w:r>
        <w:t xml:space="preserve">25,330, </w:t>
      </w:r>
      <w:r w:rsidR="00706F2F">
        <w:t>$</w:t>
      </w:r>
      <w:r>
        <w:t xml:space="preserve">126,450). None of the data points is outside of this interval, hence no outlier detected. Moreover, the interquartile range $25,280 indicates the middle half of the data has a range of $25,280 around the median. The z-score shows a measure of how many standard deviation is a particular data value is from the mean. Both variables show an increasing pattern, so the z-score from 2000 to 2010 are negative because they are under the average, whereas the data points from 2011 to 2019 are positive </w:t>
      </w:r>
      <w:r w:rsidR="00706F2F">
        <w:t>as</w:t>
      </w:r>
      <w:r>
        <w:t xml:space="preserve"> they are above the average. More particularly, the z-score of income in </w:t>
      </w:r>
      <w:r w:rsidR="00706F2F">
        <w:t xml:space="preserve">year of </w:t>
      </w:r>
      <w:r>
        <w:t xml:space="preserve">2000 equals -1.59 indicating $53,700 is 1.59 standard deviation below $76,533. </w:t>
      </w:r>
    </w:p>
    <w:p w:rsidR="006023DF" w:rsidRDefault="006023DF" w:rsidP="00A36321">
      <w:pPr>
        <w:spacing w:line="360" w:lineRule="auto"/>
      </w:pPr>
    </w:p>
    <w:p w:rsidR="008E0E8E" w:rsidRDefault="00A36321" w:rsidP="00A36321">
      <w:pPr>
        <w:spacing w:line="360" w:lineRule="auto"/>
      </w:pPr>
      <w:r>
        <w:t xml:space="preserve">The standard deviation </w:t>
      </w:r>
      <w:r w:rsidR="00706F2F">
        <w:t xml:space="preserve">of total income and house price index is $14,400.16 and 24.19. A higher standard deviation shows that the data is widely spread out and less reliable because they are inconsistent distributed, and a low standard deviation shows that the data are clustered closely around the mean and it’s more reliable. </w:t>
      </w:r>
    </w:p>
    <w:p w:rsidR="006023DF" w:rsidRDefault="006023DF" w:rsidP="00A36321">
      <w:pPr>
        <w:spacing w:line="360" w:lineRule="auto"/>
      </w:pPr>
    </w:p>
    <w:p w:rsidR="006023DF" w:rsidRDefault="006023DF" w:rsidP="00A36321">
      <w:pPr>
        <w:spacing w:line="360" w:lineRule="auto"/>
      </w:pPr>
      <w:r>
        <w:t>The correlation coefficient is 0.98615 which implies total income of families with children is strongly and positively correlated to house price index in Canada from 2000 to 2019. The trend can be observed from the scatter plot (Figure 1), house price index increases as total income increases.</w:t>
      </w:r>
      <w:r w:rsidR="006B57CE">
        <w:t xml:space="preserve"> </w:t>
      </w:r>
      <w:r>
        <w:t>The data points are very close to the trendline. The equation of linear regression is y = 0.0017x – 31.4</w:t>
      </w:r>
      <w:r w:rsidR="006B57CE">
        <w:t xml:space="preserve">, which can be </w:t>
      </w:r>
      <w:r>
        <w:t>used to interpolate and extrapolate by plugging in any x values. For example, if total income were $90,000 on June of 2016, the house price index would be 0.0017 * 90,000 - 31.4 = 121.6; if total income were increased to $150,000 in 10 years</w:t>
      </w:r>
      <w:r w:rsidR="006B57CE">
        <w:t xml:space="preserve"> in the future</w:t>
      </w:r>
      <w:r>
        <w:t>, the house price index would go up to 0.0017 * 150,000 – 31.4 = 223.6. Even the scatter plot shows a strong positive correlation between income and house market, there are so many other common factors could drive both income level and real estate market. Canada is an immigration country, nearly 200,000 new immigrants bec</w:t>
      </w:r>
      <w:r w:rsidR="006B57CE">
        <w:t>o</w:t>
      </w:r>
      <w:r>
        <w:t>me permanent resident per year. Such population growth increases the house demand so that to drive the house price going up. At the meanwhile, the growth of economy in the past several decades enhanced manufacturing activity, the prices of good, employment rate, family income, as well as house market.</w:t>
      </w:r>
      <w:r w:rsidR="009B2E27">
        <w:t xml:space="preserve"> (</w:t>
      </w:r>
      <w:r w:rsidR="009B2E27" w:rsidRPr="009B2E27">
        <w:t>Investopedia</w:t>
      </w:r>
      <w:r w:rsidR="009B2E27">
        <w:t>, Feb, 2022)</w:t>
      </w:r>
      <w:r>
        <w:t xml:space="preserve"> </w:t>
      </w:r>
    </w:p>
    <w:p w:rsidR="006B57CE" w:rsidRDefault="006B57CE" w:rsidP="00A36321">
      <w:pPr>
        <w:spacing w:line="360" w:lineRule="auto"/>
      </w:pPr>
    </w:p>
    <w:p w:rsidR="006F6C43" w:rsidRDefault="006B57CE" w:rsidP="00A36321">
      <w:pPr>
        <w:spacing w:line="360" w:lineRule="auto"/>
        <w:rPr>
          <w:b/>
        </w:rPr>
      </w:pPr>
      <w:r w:rsidRPr="006B57CE">
        <w:rPr>
          <w:b/>
        </w:rPr>
        <w:t xml:space="preserve">Conclusion: </w:t>
      </w:r>
    </w:p>
    <w:p w:rsidR="006F6C43" w:rsidRDefault="006F6C43" w:rsidP="006F6C43">
      <w:pPr>
        <w:spacing w:line="360" w:lineRule="auto"/>
      </w:pPr>
      <w:r>
        <w:t>The equation of linear regression</w:t>
      </w:r>
      <m:oMath>
        <m:r>
          <w:rPr>
            <w:rFonts w:ascii="Cambria Math" w:hAnsi="Cambria Math"/>
          </w:rPr>
          <m:t xml:space="preserve"> </m:t>
        </m:r>
        <m:r>
          <w:rPr>
            <w:rFonts w:ascii="Cambria Math" w:hAnsi="Cambria Math"/>
          </w:rPr>
          <m:t>y=0.0017x-31.4</m:t>
        </m:r>
      </m:oMath>
      <w:r>
        <w:t xml:space="preserve"> with </w:t>
      </w:r>
      <w:r>
        <w:t>correlation coefficient</w:t>
      </w:r>
      <w:r>
        <w:t xml:space="preserve"> of</w:t>
      </w:r>
      <w:r>
        <w:t xml:space="preserve"> </w:t>
      </w:r>
      <m:oMath>
        <m:r>
          <w:rPr>
            <w:rFonts w:ascii="Cambria Math" w:hAnsi="Cambria Math"/>
          </w:rPr>
          <m:t>r=0.98615</m:t>
        </m:r>
      </m:oMath>
      <w:r>
        <w:t xml:space="preserve"> provides a strong evidence to support the null hyp</w:t>
      </w:r>
      <w:bookmarkStart w:id="0" w:name="_GoBack"/>
      <w:bookmarkEnd w:id="0"/>
      <w:r>
        <w:t xml:space="preserve">othesis, so higher </w:t>
      </w:r>
      <w:r>
        <w:t>the total income of family with children, higher the house price index</w:t>
      </w:r>
      <w:r>
        <w:t xml:space="preserve"> in Canada from 2000 – 2019. The common factors that cause both income and house market to increase are large number of immigration and sustainable growth of economy in Canada. However, one of the possible bias could be household bias due to the sample size is too small. In this project, 20 years data were collected but an overall look from 1970 to 2021 would be more adequate and sufficient. </w:t>
      </w:r>
      <w:r w:rsidR="008A4932">
        <w:t xml:space="preserve"> </w:t>
      </w:r>
    </w:p>
    <w:p w:rsidR="00C142A2" w:rsidRPr="006F6C43" w:rsidRDefault="00C142A2" w:rsidP="006F6C43">
      <w:pPr>
        <w:spacing w:line="360" w:lineRule="auto"/>
      </w:pPr>
    </w:p>
    <w:p w:rsidR="008E0E8E" w:rsidRPr="006B57CE" w:rsidRDefault="008E0E8E" w:rsidP="00DF7DBA">
      <w:pPr>
        <w:rPr>
          <w:b/>
        </w:rPr>
      </w:pPr>
      <w:r w:rsidRPr="006B57CE">
        <w:rPr>
          <w:b/>
        </w:rPr>
        <w:lastRenderedPageBreak/>
        <w:t xml:space="preserve">Reference: </w:t>
      </w:r>
    </w:p>
    <w:p w:rsidR="006B57CE" w:rsidRDefault="006B57CE"/>
    <w:p w:rsidR="009B2E27" w:rsidRDefault="009B2E27" w:rsidP="009B2E27">
      <w:pPr>
        <w:pStyle w:val="NormalWeb"/>
        <w:ind w:left="567" w:hanging="567"/>
      </w:pPr>
      <w:r>
        <w:rPr>
          <w:i/>
          <w:iCs/>
        </w:rPr>
        <w:t>Real residential property prices for Canada</w:t>
      </w:r>
      <w:r>
        <w:t xml:space="preserve">. FRED. (2022, March 24). Retrieved June 17, 2022, from https://fred.stlouisfed.org/series/QCAR628BIS </w:t>
      </w:r>
    </w:p>
    <w:p w:rsidR="009B2E27" w:rsidRDefault="009B2E27" w:rsidP="009B2E27">
      <w:pPr>
        <w:pStyle w:val="NormalWeb"/>
        <w:ind w:left="567" w:hanging="567"/>
      </w:pPr>
      <w:proofErr w:type="spellStart"/>
      <w:r>
        <w:t>Jeudy</w:t>
      </w:r>
      <w:proofErr w:type="spellEnd"/>
      <w:r>
        <w:t xml:space="preserve">, L. (2021, November 24). </w:t>
      </w:r>
      <w:r>
        <w:rPr>
          <w:i/>
          <w:iCs/>
        </w:rPr>
        <w:t>Canada: Median income of families with children 2019</w:t>
      </w:r>
      <w:r>
        <w:t xml:space="preserve">. Statista. Retrieved June 17, 2022, from https://www.statista.com/statistics/478958/median-total-income-of-families-with-children-in-canada/ </w:t>
      </w:r>
    </w:p>
    <w:p w:rsidR="009B2E27" w:rsidRDefault="009B2E27" w:rsidP="009B2E27">
      <w:pPr>
        <w:pStyle w:val="NormalWeb"/>
        <w:ind w:left="567" w:hanging="567"/>
      </w:pPr>
      <w:r>
        <w:t xml:space="preserve">Nguyen, J. (2022, February 16). </w:t>
      </w:r>
      <w:r>
        <w:rPr>
          <w:i/>
          <w:iCs/>
        </w:rPr>
        <w:t>4 key factors that drive the real estate market</w:t>
      </w:r>
      <w:r>
        <w:t xml:space="preserve">. Investopedia. Retrieved June 17, 2022, from https://www.investopedia.com/articles/mortages-real-estate/11/factors-affecting-real-estate-market.asp </w:t>
      </w:r>
    </w:p>
    <w:p w:rsidR="00097391" w:rsidRDefault="00097391" w:rsidP="009B2E27"/>
    <w:sectPr w:rsidR="00097391" w:rsidSect="00C33BB9">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E9E" w:rsidRDefault="00E64E9E" w:rsidP="00055313">
      <w:r>
        <w:separator/>
      </w:r>
    </w:p>
  </w:endnote>
  <w:endnote w:type="continuationSeparator" w:id="0">
    <w:p w:rsidR="00E64E9E" w:rsidRDefault="00E64E9E" w:rsidP="0005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1104114"/>
      <w:docPartObj>
        <w:docPartGallery w:val="Page Numbers (Bottom of Page)"/>
        <w:docPartUnique/>
      </w:docPartObj>
    </w:sdtPr>
    <w:sdtContent>
      <w:p w:rsidR="00A55A12" w:rsidRDefault="00A55A12" w:rsidP="003448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5A12" w:rsidRDefault="00A55A12" w:rsidP="00A55A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28001649"/>
      <w:docPartObj>
        <w:docPartGallery w:val="Page Numbers (Bottom of Page)"/>
        <w:docPartUnique/>
      </w:docPartObj>
    </w:sdtPr>
    <w:sdtContent>
      <w:p w:rsidR="00A55A12" w:rsidRDefault="00A55A12" w:rsidP="003448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55A12" w:rsidRDefault="00A55A12" w:rsidP="00A55A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E9E" w:rsidRDefault="00E64E9E" w:rsidP="00055313">
      <w:r>
        <w:separator/>
      </w:r>
    </w:p>
  </w:footnote>
  <w:footnote w:type="continuationSeparator" w:id="0">
    <w:p w:rsidR="00E64E9E" w:rsidRDefault="00E64E9E" w:rsidP="00055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752A5"/>
    <w:multiLevelType w:val="hybridMultilevel"/>
    <w:tmpl w:val="46CA34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1220A5"/>
    <w:multiLevelType w:val="hybridMultilevel"/>
    <w:tmpl w:val="1410FA36"/>
    <w:lvl w:ilvl="0" w:tplc="D01C576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86274AC"/>
    <w:multiLevelType w:val="hybridMultilevel"/>
    <w:tmpl w:val="8DD832A4"/>
    <w:lvl w:ilvl="0" w:tplc="C51420F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B262A"/>
    <w:multiLevelType w:val="hybridMultilevel"/>
    <w:tmpl w:val="9A565172"/>
    <w:lvl w:ilvl="0" w:tplc="2A1E3E5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53AD8"/>
    <w:multiLevelType w:val="hybridMultilevel"/>
    <w:tmpl w:val="17904A2A"/>
    <w:lvl w:ilvl="0" w:tplc="2A1E3E5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02EA4"/>
    <w:multiLevelType w:val="hybridMultilevel"/>
    <w:tmpl w:val="1410FA36"/>
    <w:lvl w:ilvl="0" w:tplc="D01C576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386C59"/>
    <w:multiLevelType w:val="hybridMultilevel"/>
    <w:tmpl w:val="F472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167C0"/>
    <w:multiLevelType w:val="hybridMultilevel"/>
    <w:tmpl w:val="F966665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1C7819"/>
    <w:multiLevelType w:val="hybridMultilevel"/>
    <w:tmpl w:val="08060F58"/>
    <w:lvl w:ilvl="0" w:tplc="0470B26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0"/>
  </w:num>
  <w:num w:numId="5">
    <w:abstractNumId w:val="1"/>
  </w:num>
  <w:num w:numId="6">
    <w:abstractNumId w:val="4"/>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91"/>
    <w:rsid w:val="00030CFA"/>
    <w:rsid w:val="00055313"/>
    <w:rsid w:val="00097391"/>
    <w:rsid w:val="00170B6E"/>
    <w:rsid w:val="001C6E84"/>
    <w:rsid w:val="002F3F01"/>
    <w:rsid w:val="003F0AB3"/>
    <w:rsid w:val="004276DE"/>
    <w:rsid w:val="00523982"/>
    <w:rsid w:val="00525EFD"/>
    <w:rsid w:val="005C6428"/>
    <w:rsid w:val="006023DF"/>
    <w:rsid w:val="006B57CE"/>
    <w:rsid w:val="006F6C43"/>
    <w:rsid w:val="00706F2F"/>
    <w:rsid w:val="007B291B"/>
    <w:rsid w:val="007C6BFB"/>
    <w:rsid w:val="008A10DA"/>
    <w:rsid w:val="008A4932"/>
    <w:rsid w:val="008A4B5B"/>
    <w:rsid w:val="008E0E8E"/>
    <w:rsid w:val="00930591"/>
    <w:rsid w:val="00956C92"/>
    <w:rsid w:val="009607F2"/>
    <w:rsid w:val="009A394D"/>
    <w:rsid w:val="009B2E27"/>
    <w:rsid w:val="00A36321"/>
    <w:rsid w:val="00A55A12"/>
    <w:rsid w:val="00A60A5B"/>
    <w:rsid w:val="00AC6383"/>
    <w:rsid w:val="00AD07D9"/>
    <w:rsid w:val="00C13570"/>
    <w:rsid w:val="00C142A2"/>
    <w:rsid w:val="00C33BB9"/>
    <w:rsid w:val="00DF7DBA"/>
    <w:rsid w:val="00E64E9E"/>
    <w:rsid w:val="00F146A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4A842"/>
  <w15:chartTrackingRefBased/>
  <w15:docId w15:val="{C938276B-E68B-D646-8077-F53825DA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3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DE"/>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4276DE"/>
    <w:rPr>
      <w:rFonts w:ascii="Times New Roman" w:eastAsia="Times New Roman" w:hAnsi="Times New Roman" w:cs="Times New Roman"/>
      <w:lang w:val="en-US" w:eastAsia="en-US"/>
    </w:rPr>
  </w:style>
  <w:style w:type="paragraph" w:styleId="ListParagraph">
    <w:name w:val="List Paragraph"/>
    <w:basedOn w:val="Normal"/>
    <w:uiPriority w:val="1"/>
    <w:qFormat/>
    <w:rsid w:val="004276DE"/>
    <w:pPr>
      <w:ind w:left="720"/>
      <w:contextualSpacing/>
    </w:pPr>
  </w:style>
  <w:style w:type="character" w:styleId="PlaceholderText">
    <w:name w:val="Placeholder Text"/>
    <w:basedOn w:val="DefaultParagraphFont"/>
    <w:uiPriority w:val="99"/>
    <w:semiHidden/>
    <w:rsid w:val="00097391"/>
    <w:rPr>
      <w:color w:val="808080"/>
    </w:rPr>
  </w:style>
  <w:style w:type="paragraph" w:styleId="Footer">
    <w:name w:val="footer"/>
    <w:basedOn w:val="Normal"/>
    <w:link w:val="FooterChar"/>
    <w:uiPriority w:val="99"/>
    <w:unhideWhenUsed/>
    <w:rsid w:val="00055313"/>
    <w:pPr>
      <w:tabs>
        <w:tab w:val="center" w:pos="4680"/>
        <w:tab w:val="right" w:pos="9360"/>
      </w:tabs>
    </w:pPr>
  </w:style>
  <w:style w:type="character" w:customStyle="1" w:styleId="FooterChar">
    <w:name w:val="Footer Char"/>
    <w:basedOn w:val="DefaultParagraphFont"/>
    <w:link w:val="Footer"/>
    <w:uiPriority w:val="99"/>
    <w:rsid w:val="00055313"/>
    <w:rPr>
      <w:rFonts w:ascii="Times New Roman" w:hAnsi="Times New Roman"/>
    </w:rPr>
  </w:style>
  <w:style w:type="character" w:styleId="PageNumber">
    <w:name w:val="page number"/>
    <w:basedOn w:val="DefaultParagraphFont"/>
    <w:uiPriority w:val="99"/>
    <w:semiHidden/>
    <w:unhideWhenUsed/>
    <w:rsid w:val="00055313"/>
  </w:style>
  <w:style w:type="character" w:styleId="Hyperlink">
    <w:name w:val="Hyperlink"/>
    <w:basedOn w:val="DefaultParagraphFont"/>
    <w:uiPriority w:val="99"/>
    <w:unhideWhenUsed/>
    <w:rsid w:val="006023DF"/>
    <w:rPr>
      <w:color w:val="0563C1" w:themeColor="hyperlink"/>
      <w:u w:val="single"/>
    </w:rPr>
  </w:style>
  <w:style w:type="character" w:styleId="UnresolvedMention">
    <w:name w:val="Unresolved Mention"/>
    <w:basedOn w:val="DefaultParagraphFont"/>
    <w:uiPriority w:val="99"/>
    <w:semiHidden/>
    <w:unhideWhenUsed/>
    <w:rsid w:val="006023DF"/>
    <w:rPr>
      <w:color w:val="605E5C"/>
      <w:shd w:val="clear" w:color="auto" w:fill="E1DFDD"/>
    </w:rPr>
  </w:style>
  <w:style w:type="table" w:styleId="TableGrid">
    <w:name w:val="Table Grid"/>
    <w:basedOn w:val="TableNormal"/>
    <w:uiPriority w:val="39"/>
    <w:rsid w:val="00C1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2E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0885">
      <w:bodyDiv w:val="1"/>
      <w:marLeft w:val="0"/>
      <w:marRight w:val="0"/>
      <w:marTop w:val="0"/>
      <w:marBottom w:val="0"/>
      <w:divBdr>
        <w:top w:val="none" w:sz="0" w:space="0" w:color="auto"/>
        <w:left w:val="none" w:sz="0" w:space="0" w:color="auto"/>
        <w:bottom w:val="none" w:sz="0" w:space="0" w:color="auto"/>
        <w:right w:val="none" w:sz="0" w:space="0" w:color="auto"/>
      </w:divBdr>
    </w:div>
    <w:div w:id="875584338">
      <w:bodyDiv w:val="1"/>
      <w:marLeft w:val="0"/>
      <w:marRight w:val="0"/>
      <w:marTop w:val="0"/>
      <w:marBottom w:val="0"/>
      <w:divBdr>
        <w:top w:val="none" w:sz="0" w:space="0" w:color="auto"/>
        <w:left w:val="none" w:sz="0" w:space="0" w:color="auto"/>
        <w:bottom w:val="none" w:sz="0" w:space="0" w:color="auto"/>
        <w:right w:val="none" w:sz="0" w:space="0" w:color="auto"/>
      </w:divBdr>
    </w:div>
    <w:div w:id="924723953">
      <w:bodyDiv w:val="1"/>
      <w:marLeft w:val="0"/>
      <w:marRight w:val="0"/>
      <w:marTop w:val="0"/>
      <w:marBottom w:val="0"/>
      <w:divBdr>
        <w:top w:val="none" w:sz="0" w:space="0" w:color="auto"/>
        <w:left w:val="none" w:sz="0" w:space="0" w:color="auto"/>
        <w:bottom w:val="none" w:sz="0" w:space="0" w:color="auto"/>
        <w:right w:val="none" w:sz="0" w:space="0" w:color="auto"/>
      </w:divBdr>
    </w:div>
    <w:div w:id="953635000">
      <w:bodyDiv w:val="1"/>
      <w:marLeft w:val="0"/>
      <w:marRight w:val="0"/>
      <w:marTop w:val="0"/>
      <w:marBottom w:val="0"/>
      <w:divBdr>
        <w:top w:val="none" w:sz="0" w:space="0" w:color="auto"/>
        <w:left w:val="none" w:sz="0" w:space="0" w:color="auto"/>
        <w:bottom w:val="none" w:sz="0" w:space="0" w:color="auto"/>
        <w:right w:val="none" w:sz="0" w:space="0" w:color="auto"/>
      </w:divBdr>
    </w:div>
    <w:div w:id="1009865849">
      <w:bodyDiv w:val="1"/>
      <w:marLeft w:val="0"/>
      <w:marRight w:val="0"/>
      <w:marTop w:val="0"/>
      <w:marBottom w:val="0"/>
      <w:divBdr>
        <w:top w:val="none" w:sz="0" w:space="0" w:color="auto"/>
        <w:left w:val="none" w:sz="0" w:space="0" w:color="auto"/>
        <w:bottom w:val="none" w:sz="0" w:space="0" w:color="auto"/>
        <w:right w:val="none" w:sz="0" w:space="0" w:color="auto"/>
      </w:divBdr>
    </w:div>
    <w:div w:id="1323041302">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62662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Book1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3"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3"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200">
                <a:effectLst/>
              </a:rPr>
              <a:t>The relationship between Total income of families with children in Canada and real residential property prices index for Canada from 2000 to 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Real Residential Property prices Index for Canada (y)</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699381014873141"/>
                  <c:y val="-1.821777486147565E-2"/>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rendlineLbl>
          </c:trendline>
          <c:xVal>
            <c:numRef>
              <c:f>Sheet1!$B$2:$B$21</c:f>
              <c:numCache>
                <c:formatCode>General</c:formatCode>
                <c:ptCount val="20"/>
                <c:pt idx="0">
                  <c:v>53700</c:v>
                </c:pt>
                <c:pt idx="1">
                  <c:v>56700</c:v>
                </c:pt>
                <c:pt idx="2">
                  <c:v>58600</c:v>
                </c:pt>
                <c:pt idx="3">
                  <c:v>59300</c:v>
                </c:pt>
                <c:pt idx="4">
                  <c:v>61600</c:v>
                </c:pt>
                <c:pt idx="5">
                  <c:v>64900</c:v>
                </c:pt>
                <c:pt idx="6">
                  <c:v>68400</c:v>
                </c:pt>
                <c:pt idx="7">
                  <c:v>71920</c:v>
                </c:pt>
                <c:pt idx="8">
                  <c:v>74690</c:v>
                </c:pt>
                <c:pt idx="9">
                  <c:v>74190</c:v>
                </c:pt>
                <c:pt idx="10">
                  <c:v>75980</c:v>
                </c:pt>
                <c:pt idx="11">
                  <c:v>78890</c:v>
                </c:pt>
                <c:pt idx="12">
                  <c:v>81670</c:v>
                </c:pt>
                <c:pt idx="13">
                  <c:v>84270</c:v>
                </c:pt>
                <c:pt idx="14">
                  <c:v>87200</c:v>
                </c:pt>
                <c:pt idx="15">
                  <c:v>89860</c:v>
                </c:pt>
                <c:pt idx="16">
                  <c:v>91650</c:v>
                </c:pt>
                <c:pt idx="17">
                  <c:v>95250</c:v>
                </c:pt>
                <c:pt idx="18">
                  <c:v>99340</c:v>
                </c:pt>
                <c:pt idx="19">
                  <c:v>102550</c:v>
                </c:pt>
              </c:numCache>
            </c:numRef>
          </c:xVal>
          <c:yVal>
            <c:numRef>
              <c:f>Sheet1!$C$2:$C$21</c:f>
              <c:numCache>
                <c:formatCode>0.0000</c:formatCode>
                <c:ptCount val="20"/>
                <c:pt idx="0">
                  <c:v>58.233400000000003</c:v>
                </c:pt>
                <c:pt idx="1">
                  <c:v>58.095999999999997</c:v>
                </c:pt>
                <c:pt idx="2">
                  <c:v>63.2774</c:v>
                </c:pt>
                <c:pt idx="3">
                  <c:v>65.782600000000002</c:v>
                </c:pt>
                <c:pt idx="4">
                  <c:v>71.981899999999996</c:v>
                </c:pt>
                <c:pt idx="5">
                  <c:v>77.465199999999996</c:v>
                </c:pt>
                <c:pt idx="6">
                  <c:v>80.544600000000003</c:v>
                </c:pt>
                <c:pt idx="7">
                  <c:v>92.979600000000005</c:v>
                </c:pt>
                <c:pt idx="8">
                  <c:v>99.504800000000003</c:v>
                </c:pt>
                <c:pt idx="9">
                  <c:v>92.792599999999993</c:v>
                </c:pt>
                <c:pt idx="10">
                  <c:v>100.2634</c:v>
                </c:pt>
                <c:pt idx="11">
                  <c:v>99.579099999999997</c:v>
                </c:pt>
                <c:pt idx="12">
                  <c:v>101.8205</c:v>
                </c:pt>
                <c:pt idx="13">
                  <c:v>103.6024</c:v>
                </c:pt>
                <c:pt idx="14">
                  <c:v>106.8698</c:v>
                </c:pt>
                <c:pt idx="15">
                  <c:v>110.80419999999999</c:v>
                </c:pt>
                <c:pt idx="16">
                  <c:v>117.2243</c:v>
                </c:pt>
                <c:pt idx="17">
                  <c:v>131.5822</c:v>
                </c:pt>
                <c:pt idx="18">
                  <c:v>138.52690000000001</c:v>
                </c:pt>
                <c:pt idx="19">
                  <c:v>137.1277</c:v>
                </c:pt>
              </c:numCache>
            </c:numRef>
          </c:yVal>
          <c:smooth val="0"/>
          <c:extLst>
            <c:ext xmlns:c16="http://schemas.microsoft.com/office/drawing/2014/chart" uri="{C3380CC4-5D6E-409C-BE32-E72D297353CC}">
              <c16:uniqueId val="{00000001-4015-CE45-8C8E-B491302ED875}"/>
            </c:ext>
          </c:extLst>
        </c:ser>
        <c:dLbls>
          <c:showLegendKey val="0"/>
          <c:showVal val="0"/>
          <c:showCatName val="0"/>
          <c:showSerName val="0"/>
          <c:showPercent val="0"/>
          <c:showBubbleSize val="0"/>
        </c:dLbls>
        <c:axId val="567206128"/>
        <c:axId val="566436256"/>
      </c:scatterChart>
      <c:valAx>
        <c:axId val="5672061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a:t>
                </a:r>
                <a:r>
                  <a:rPr lang="en-US" baseline="0"/>
                  <a:t> of families with children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436256"/>
        <c:crosses val="autoZero"/>
        <c:crossBetween val="midCat"/>
      </c:valAx>
      <c:valAx>
        <c:axId val="566436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Real</a:t>
                </a:r>
                <a:r>
                  <a:rPr lang="en-US" sz="900" baseline="0"/>
                  <a:t> residential property prices indec for Canada</a:t>
                </a:r>
              </a:p>
            </c:rich>
          </c:tx>
          <c:layout>
            <c:manualLayout>
              <c:xMode val="edge"/>
              <c:yMode val="edge"/>
              <c:x val="2.5596276905177427E-2"/>
              <c:y val="0.1705221788087666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2061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Total Income of Families with Childre</a:t>
            </a:r>
            <a:r>
              <a:rPr lang="en-US" sz="1200" baseline="0"/>
              <a:t>n in Canada from 2000 - 2019</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Income of Families with Children (x)</c:v>
                </c:pt>
              </c:strCache>
            </c:strRef>
          </c:tx>
          <c:spPr>
            <a:solidFill>
              <a:schemeClr val="accent1"/>
            </a:solidFill>
            <a:ln>
              <a:noFill/>
            </a:ln>
            <a:effectLst/>
          </c:spPr>
          <c:invertIfNegative val="0"/>
          <c:cat>
            <c:numRef>
              <c:f>Sheet1!$A$2:$A$21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Sheet1!$B$2:$B$21</c:f>
              <c:numCache>
                <c:formatCode>General</c:formatCode>
                <c:ptCount val="20"/>
                <c:pt idx="0">
                  <c:v>53700</c:v>
                </c:pt>
                <c:pt idx="1">
                  <c:v>56700</c:v>
                </c:pt>
                <c:pt idx="2">
                  <c:v>58600</c:v>
                </c:pt>
                <c:pt idx="3">
                  <c:v>59300</c:v>
                </c:pt>
                <c:pt idx="4">
                  <c:v>61600</c:v>
                </c:pt>
                <c:pt idx="5">
                  <c:v>64900</c:v>
                </c:pt>
                <c:pt idx="6">
                  <c:v>68400</c:v>
                </c:pt>
                <c:pt idx="7">
                  <c:v>71920</c:v>
                </c:pt>
                <c:pt idx="8">
                  <c:v>74690</c:v>
                </c:pt>
                <c:pt idx="9">
                  <c:v>74190</c:v>
                </c:pt>
                <c:pt idx="10">
                  <c:v>75980</c:v>
                </c:pt>
                <c:pt idx="11">
                  <c:v>78890</c:v>
                </c:pt>
                <c:pt idx="12">
                  <c:v>81670</c:v>
                </c:pt>
                <c:pt idx="13">
                  <c:v>84270</c:v>
                </c:pt>
                <c:pt idx="14">
                  <c:v>87200</c:v>
                </c:pt>
                <c:pt idx="15">
                  <c:v>89860</c:v>
                </c:pt>
                <c:pt idx="16">
                  <c:v>91650</c:v>
                </c:pt>
                <c:pt idx="17">
                  <c:v>95250</c:v>
                </c:pt>
                <c:pt idx="18">
                  <c:v>99340</c:v>
                </c:pt>
                <c:pt idx="19">
                  <c:v>102550</c:v>
                </c:pt>
              </c:numCache>
            </c:numRef>
          </c:val>
          <c:extLst>
            <c:ext xmlns:c16="http://schemas.microsoft.com/office/drawing/2014/chart" uri="{C3380CC4-5D6E-409C-BE32-E72D297353CC}">
              <c16:uniqueId val="{00000000-FA57-7C41-951A-DA4577C51461}"/>
            </c:ext>
          </c:extLst>
        </c:ser>
        <c:dLbls>
          <c:showLegendKey val="0"/>
          <c:showVal val="0"/>
          <c:showCatName val="0"/>
          <c:showSerName val="0"/>
          <c:showPercent val="0"/>
          <c:showBubbleSize val="0"/>
        </c:dLbls>
        <c:gapWidth val="219"/>
        <c:overlap val="-27"/>
        <c:axId val="599610544"/>
        <c:axId val="604702272"/>
      </c:barChart>
      <c:catAx>
        <c:axId val="59961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702272"/>
        <c:crosses val="autoZero"/>
        <c:auto val="1"/>
        <c:lblAlgn val="ctr"/>
        <c:lblOffset val="100"/>
        <c:noMultiLvlLbl val="0"/>
      </c:catAx>
      <c:valAx>
        <c:axId val="604702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9610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baseline="0">
                <a:effectLst/>
              </a:rPr>
              <a:t>Real Residential Property Prices Index for Canada 2000 - 2019</a:t>
            </a:r>
            <a:endParaRPr lang="en-CA" sz="1100">
              <a:effectLs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Sheet1!$D$59</c:f>
              <c:strCache>
                <c:ptCount val="1"/>
                <c:pt idx="0">
                  <c:v>Real Residential Property prices Index for Canada (y)</c:v>
                </c:pt>
              </c:strCache>
            </c:strRef>
          </c:tx>
          <c:spPr>
            <a:ln w="28575" cap="rnd">
              <a:solidFill>
                <a:schemeClr val="accent1"/>
              </a:solidFill>
              <a:round/>
            </a:ln>
            <a:effectLst/>
          </c:spPr>
          <c:marker>
            <c:symbol val="none"/>
          </c:marker>
          <c:cat>
            <c:numRef>
              <c:f>Sheet1!$C$60:$C$79</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Sheet1!$D$60:$D$79</c:f>
              <c:numCache>
                <c:formatCode>0</c:formatCode>
                <c:ptCount val="20"/>
                <c:pt idx="0">
                  <c:v>58.233400000000003</c:v>
                </c:pt>
                <c:pt idx="1">
                  <c:v>58.095999999999997</c:v>
                </c:pt>
                <c:pt idx="2">
                  <c:v>63.2774</c:v>
                </c:pt>
                <c:pt idx="3">
                  <c:v>65.782600000000002</c:v>
                </c:pt>
                <c:pt idx="4">
                  <c:v>71.981899999999996</c:v>
                </c:pt>
                <c:pt idx="5">
                  <c:v>77.465199999999996</c:v>
                </c:pt>
                <c:pt idx="6">
                  <c:v>80.544600000000003</c:v>
                </c:pt>
                <c:pt idx="7">
                  <c:v>92.979600000000005</c:v>
                </c:pt>
                <c:pt idx="8">
                  <c:v>99.504800000000003</c:v>
                </c:pt>
                <c:pt idx="9">
                  <c:v>92.792599999999993</c:v>
                </c:pt>
                <c:pt idx="10">
                  <c:v>100.2634</c:v>
                </c:pt>
                <c:pt idx="11">
                  <c:v>99.579099999999997</c:v>
                </c:pt>
                <c:pt idx="12">
                  <c:v>101.8205</c:v>
                </c:pt>
                <c:pt idx="13">
                  <c:v>103.6024</c:v>
                </c:pt>
                <c:pt idx="14">
                  <c:v>106.8698</c:v>
                </c:pt>
                <c:pt idx="15">
                  <c:v>110.80419999999999</c:v>
                </c:pt>
                <c:pt idx="16">
                  <c:v>117.2243</c:v>
                </c:pt>
                <c:pt idx="17">
                  <c:v>131.5822</c:v>
                </c:pt>
                <c:pt idx="18">
                  <c:v>138.52690000000001</c:v>
                </c:pt>
                <c:pt idx="19">
                  <c:v>137.1277</c:v>
                </c:pt>
              </c:numCache>
            </c:numRef>
          </c:val>
          <c:smooth val="0"/>
          <c:extLst>
            <c:ext xmlns:c16="http://schemas.microsoft.com/office/drawing/2014/chart" uri="{C3380CC4-5D6E-409C-BE32-E72D297353CC}">
              <c16:uniqueId val="{00000000-F997-6749-9BD4-A4C72F0A598A}"/>
            </c:ext>
          </c:extLst>
        </c:ser>
        <c:dLbls>
          <c:showLegendKey val="0"/>
          <c:showVal val="0"/>
          <c:showCatName val="0"/>
          <c:showSerName val="0"/>
          <c:showPercent val="0"/>
          <c:showBubbleSize val="0"/>
        </c:dLbls>
        <c:smooth val="0"/>
        <c:axId val="606150992"/>
        <c:axId val="606152672"/>
      </c:lineChart>
      <c:catAx>
        <c:axId val="606150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152672"/>
        <c:crosses val="autoZero"/>
        <c:auto val="1"/>
        <c:lblAlgn val="ctr"/>
        <c:lblOffset val="100"/>
        <c:noMultiLvlLbl val="0"/>
      </c:catAx>
      <c:valAx>
        <c:axId val="606152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Price</a:t>
                </a:r>
                <a:r>
                  <a:rPr lang="en-US" baseline="0"/>
                  <a:t> Index</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150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9</Pages>
  <Words>1591</Words>
  <Characters>9070</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Hou</dc:creator>
  <cp:keywords/>
  <dc:description/>
  <cp:lastModifiedBy>Ella Hou</cp:lastModifiedBy>
  <cp:revision>32</cp:revision>
  <dcterms:created xsi:type="dcterms:W3CDTF">2022-06-17T15:36:00Z</dcterms:created>
  <dcterms:modified xsi:type="dcterms:W3CDTF">2022-06-18T03:05:00Z</dcterms:modified>
</cp:coreProperties>
</file>